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rap="auto" w:vAnchor="margin" w:hAnchor="text" w:yAlign="inline"/>
        <w:spacing w:line="360" w:lineRule="auto"/>
        <w:jc w:val="center"/>
        <w:outlineLvl w:val="0"/>
        <w:rPr>
          <w:rFonts w:hint="default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TW" w:eastAsia="zh-TW"/>
        </w:rPr>
        <w:t>中山大学南方学院跨境电商平台系统采购项目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</w:t>
      </w:r>
      <w:r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  <w:t>需求书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 xml:space="preserve">    一、采购范围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1.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数量清单如下，预算17万</w:t>
      </w:r>
      <w:r>
        <w:rPr>
          <w:rFonts w:ascii="宋体" w:hAnsi="宋体" w:eastAsia="宋体" w:cs="宋体"/>
          <w:sz w:val="24"/>
          <w:szCs w:val="24"/>
          <w:lang w:val="zh-TW"/>
        </w:rPr>
        <w:t>：</w:t>
      </w:r>
    </w:p>
    <w:tbl>
      <w:tblPr>
        <w:tblStyle w:val="7"/>
        <w:tblW w:w="76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4526"/>
        <w:gridCol w:w="993"/>
        <w:gridCol w:w="116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设备（货物）名称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跨境多平台实训系统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framePr w:wrap="auto" w:vAnchor="margin" w:hAnchor="text" w:yAlign="inline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pStyle w:val="13"/>
        <w:framePr w:wrap="auto" w:vAnchor="margin" w:hAnchor="text" w:yAlign="inline"/>
        <w:ind w:firstLine="0"/>
        <w:jc w:val="center"/>
        <w:rPr>
          <w:rFonts w:hint="default" w:ascii="宋体" w:hAnsi="宋体" w:eastAsia="宋体" w:cs="宋体"/>
          <w:sz w:val="24"/>
          <w:szCs w:val="24"/>
        </w:rPr>
      </w:pP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default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2.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供应商需完成如下事项：</w:t>
      </w:r>
    </w:p>
    <w:p>
      <w:pPr>
        <w:pStyle w:val="13"/>
        <w:framePr w:wrap="auto" w:vAnchor="margin" w:hAnchor="text" w:yAlign="inline"/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供应商报价需包括设备及相关附件的采购、包装、送货、安装、验收、培训、税费、技术服务（包括技术资料的提供）、保修期保障、其它费用等一切支出。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b/>
          <w:bCs/>
          <w:sz w:val="24"/>
          <w:szCs w:val="24"/>
          <w:lang w:val="zh-TW"/>
        </w:rPr>
      </w:pP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 xml:space="preserve">    </w:t>
      </w:r>
    </w:p>
    <w:p>
      <w:pPr>
        <w:pStyle w:val="13"/>
        <w:framePr w:wrap="auto" w:vAnchor="margin" w:hAnchor="text" w:yAlign="inline"/>
        <w:spacing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>二、商务需求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1.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对供应商的资格要求：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宋体" w:cs="宋体"/>
          <w:color w:val="auto"/>
          <w:sz w:val="24"/>
          <w:szCs w:val="24"/>
          <w:lang w:val="zh-TW"/>
        </w:rPr>
      </w:pPr>
      <w:r>
        <w:rPr>
          <w:rFonts w:ascii="宋体" w:hAnsi="宋体" w:eastAsia="宋体" w:cs="宋体"/>
          <w:sz w:val="24"/>
          <w:szCs w:val="24"/>
          <w:lang w:val="zh-TW"/>
        </w:rPr>
        <w:t>（1）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对供应商的资格要求：国内（指按国家有关规定要求注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册）</w:t>
      </w:r>
      <w:r>
        <w:rPr>
          <w:rFonts w:ascii="宋体" w:hAnsi="宋体" w:eastAsia="宋体" w:cs="宋体"/>
          <w:color w:val="auto"/>
          <w:sz w:val="24"/>
          <w:szCs w:val="24"/>
          <w:u w:color="FF0000"/>
          <w:lang w:val="zh-TW" w:eastAsia="zh-TW"/>
        </w:rPr>
        <w:t>注册资金</w:t>
      </w:r>
      <w:r>
        <w:rPr>
          <w:rFonts w:hint="default" w:ascii="宋体" w:hAnsi="宋体" w:eastAsia="宋体" w:cs="宋体"/>
          <w:color w:val="auto"/>
          <w:sz w:val="24"/>
          <w:szCs w:val="24"/>
          <w:u w:color="FF0000"/>
        </w:rPr>
        <w:t>100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万元（含</w:t>
      </w:r>
      <w:r>
        <w:rPr>
          <w:rFonts w:ascii="宋体" w:hAnsi="宋体" w:eastAsia="宋体" w:cs="宋体"/>
          <w:color w:val="auto"/>
          <w:sz w:val="24"/>
          <w:szCs w:val="24"/>
        </w:rPr>
        <w:t>100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万元）以上，具备独立法人资格；具有履行合同所必须的设备和专业技术能力；提供近三年业绩清单；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宋体" w:cs="宋体"/>
          <w:color w:val="auto"/>
          <w:sz w:val="24"/>
          <w:szCs w:val="24"/>
          <w:u w:color="0000FF"/>
        </w:rPr>
      </w:pPr>
      <w:r>
        <w:rPr>
          <w:rFonts w:ascii="宋体" w:hAnsi="宋体" w:eastAsia="宋体" w:cs="宋体"/>
          <w:color w:val="auto"/>
          <w:sz w:val="24"/>
          <w:szCs w:val="24"/>
          <w:lang w:val="zh-TW"/>
        </w:rPr>
        <w:t>（2）</w:t>
      </w:r>
      <w:r>
        <w:rPr>
          <w:rFonts w:hint="cs" w:ascii="宋体" w:hAnsi="宋体" w:eastAsia="宋体" w:cs="宋体"/>
          <w:color w:val="auto"/>
          <w:sz w:val="24"/>
          <w:szCs w:val="24"/>
          <w:lang w:val="zh-TW"/>
        </w:rPr>
        <w:t>投标人的证明文件不符合标</w:t>
      </w:r>
      <w:r>
        <w:rPr>
          <w:rFonts w:ascii="宋体" w:hAnsi="宋体" w:eastAsia="宋体" w:cs="宋体"/>
          <w:color w:val="auto"/>
          <w:sz w:val="24"/>
          <w:szCs w:val="24"/>
          <w:lang w:val="zh-TW"/>
        </w:rPr>
        <w:t>“</w:t>
      </w:r>
      <w:r>
        <w:rPr>
          <w:rFonts w:hint="cs" w:ascii="宋体" w:hAnsi="宋体" w:eastAsia="宋体" w:cs="宋体"/>
          <w:color w:val="auto"/>
          <w:sz w:val="24"/>
          <w:szCs w:val="24"/>
          <w:lang w:val="zh-TW"/>
        </w:rPr>
        <w:t>★</w:t>
      </w:r>
      <w:r>
        <w:rPr>
          <w:rFonts w:ascii="宋体" w:hAnsi="宋体" w:eastAsia="宋体" w:cs="宋体"/>
          <w:color w:val="auto"/>
          <w:sz w:val="24"/>
          <w:szCs w:val="24"/>
          <w:lang w:val="zh-TW"/>
        </w:rPr>
        <w:t>”</w:t>
      </w:r>
      <w:r>
        <w:rPr>
          <w:rFonts w:hint="cs" w:ascii="宋体" w:hAnsi="宋体" w:eastAsia="宋体" w:cs="宋体"/>
          <w:color w:val="auto"/>
          <w:sz w:val="24"/>
          <w:szCs w:val="24"/>
          <w:lang w:val="zh-TW"/>
        </w:rPr>
        <w:t>的任一项的，则视为未实质响应招标要求，取消其投标资格。</w:t>
      </w:r>
    </w:p>
    <w:p>
      <w:pPr>
        <w:pStyle w:val="13"/>
        <w:framePr w:wrap="auto" w:vAnchor="margin" w:hAnchor="text" w:yAlign="inline"/>
        <w:spacing w:line="360" w:lineRule="auto"/>
        <w:ind w:firstLine="468"/>
        <w:rPr>
          <w:rFonts w:hint="default" w:ascii="宋体" w:hAnsi="宋体" w:eastAsia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color w:val="auto"/>
          <w:sz w:val="24"/>
          <w:szCs w:val="24"/>
        </w:rPr>
        <w:t>2.</w:t>
      </w:r>
      <w:r>
        <w:rPr>
          <w:rFonts w:ascii="宋体" w:hAnsi="宋体" w:eastAsia="宋体" w:cs="宋体"/>
          <w:color w:val="auto"/>
          <w:sz w:val="24"/>
          <w:szCs w:val="24"/>
          <w:lang w:val="zh-TW" w:eastAsia="zh-TW"/>
        </w:rPr>
        <w:t>软件产品必须拥有软件著作权登记证书，如是代理商投标则需提供软件制造厂商盖章的售后服务承诺。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软件制造厂商</w:t>
      </w:r>
      <w:r>
        <w:rPr>
          <w:rFonts w:ascii="宋体" w:hAnsi="宋体" w:eastAsia="宋体" w:cs="宋体"/>
          <w:sz w:val="24"/>
          <w:szCs w:val="24"/>
        </w:rPr>
        <w:t>需有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跨境电商培训方面的合作，以便能够支撑采购方日常教学与师资培训的需要；需提供相关合作证明文件加盖平台开发单位公章。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宋体" w:cs="宋体"/>
          <w:color w:val="auto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宋体" w:cs="宋体"/>
          <w:sz w:val="24"/>
          <w:szCs w:val="24"/>
          <w:lang w:val="zh-TW" w:eastAsia="zh-TW"/>
        </w:rPr>
      </w:pPr>
      <w:r>
        <w:rPr>
          <w:rFonts w:hint="default" w:ascii="宋体" w:hAnsi="宋体" w:eastAsia="宋体" w:cs="宋体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合同签字生效后，以甲方发出书面通知之日起，</w:t>
      </w:r>
      <w:r>
        <w:rPr>
          <w:rFonts w:hint="default" w:ascii="宋体" w:hAnsi="宋体" w:eastAsia="宋体" w:cs="宋体"/>
          <w:sz w:val="24"/>
          <w:szCs w:val="24"/>
        </w:rPr>
        <w:t>7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个工作日内将货物运达目的地并安装完毕。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default" w:ascii="宋体" w:hAnsi="宋体" w:eastAsia="宋体" w:cs="宋体"/>
          <w:sz w:val="24"/>
          <w:szCs w:val="24"/>
        </w:rPr>
        <w:t>6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付款方式：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 xml:space="preserve">    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）工程安装完工后，甲乙双方办理正式竣工验收及结算手续后，甲方于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个工作日内支付结算款的</w:t>
      </w:r>
      <w:r>
        <w:rPr>
          <w:rFonts w:ascii="宋体" w:hAnsi="宋体" w:eastAsia="宋体" w:cs="宋体"/>
          <w:sz w:val="24"/>
          <w:szCs w:val="24"/>
        </w:rPr>
        <w:t>90%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。</w:t>
      </w:r>
    </w:p>
    <w:p>
      <w:pPr>
        <w:pStyle w:val="13"/>
        <w:framePr w:wrap="auto" w:vAnchor="margin" w:hAnchor="text" w:yAlign="inline"/>
        <w:spacing w:line="360" w:lineRule="auto"/>
        <w:ind w:firstLine="480"/>
        <w:rPr>
          <w:rFonts w:hint="default" w:ascii="宋体" w:hAnsi="宋体" w:eastAsia="PMingLiU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）余款</w:t>
      </w:r>
      <w:r>
        <w:rPr>
          <w:rFonts w:ascii="宋体" w:hAnsi="宋体" w:eastAsia="宋体" w:cs="宋体"/>
          <w:sz w:val="24"/>
          <w:szCs w:val="24"/>
        </w:rPr>
        <w:t>10%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作为质量保证金，甲方在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年产品质量保证期满后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个工作日内无息向乙方结清余下货款。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b/>
          <w:bCs/>
          <w:sz w:val="24"/>
          <w:szCs w:val="24"/>
          <w:lang w:val="zh-TW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134" w:right="1440" w:bottom="1134" w:left="1318" w:header="851" w:footer="992" w:gutter="0"/>
          <w:cols w:space="720" w:num="1"/>
        </w:sectPr>
      </w:pPr>
    </w:p>
    <w:p>
      <w:pPr>
        <w:pStyle w:val="13"/>
        <w:framePr w:wrap="auto" w:vAnchor="margin" w:hAnchor="text" w:yAlign="inline"/>
        <w:numPr>
          <w:ilvl w:val="0"/>
          <w:numId w:val="1"/>
        </w:numPr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>技术参数及要求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技术参数要求：</w:t>
      </w:r>
    </w:p>
    <w:tbl>
      <w:tblPr>
        <w:tblStyle w:val="7"/>
        <w:tblW w:w="1483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7"/>
        <w:gridCol w:w="1840"/>
        <w:gridCol w:w="10651"/>
        <w:gridCol w:w="818"/>
        <w:gridCol w:w="8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名称</w:t>
            </w:r>
          </w:p>
        </w:tc>
        <w:tc>
          <w:tcPr>
            <w:tcW w:w="10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设备技术参数</w:t>
            </w: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</w:rPr>
              <w:t>/</w:t>
            </w: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性能要求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单位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lang w:val="zh-TW" w:eastAsia="zh-TW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lang w:val="zh-TW" w:eastAsia="zh-TW"/>
              </w:rPr>
              <w:t>跨境多平台实训系统</w:t>
            </w:r>
          </w:p>
        </w:tc>
        <w:tc>
          <w:tcPr>
            <w:tcW w:w="10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一、软件要求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★1.平台应涵盖速卖通、亚马逊、国际站（B2B）等三大跨境电商平台的主要功能，真实反映跨境电商平台特点，满足跨境电商专业人才培养实践教学的需要。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2.平台实训环节应覆盖买家前台、卖家注册、店铺开设、商品信息发布、促销信息设置，订单处理以及客服纠纷处理等跨境电子商务业务流程。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▲3.平台应可开展跨境电商选品、网络营销、视觉设计、数据分析、客户服务、跨境物流以及收款与支付等实训项目。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4.平台应支撑《跨境电子商务基础》、《跨境电商多平台运营》等课程的日常实践教学。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▲5.平台应以真实案例导入实训内容，让学生结合真实案例，对各平台的操作步骤进行深度分析学习。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6.平台应采用信息化手段全程跟踪学生每一步实训操作过程，教师可全面了解学生对知识的掌握情况，从而动态调整教学内容，让教学真正做到有的放矢。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★7.平台应可对学生的学习成绩生成直观图表，对学生成绩进行多角度客观真实的分析，以便老师掌握学生学习效果。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 xml:space="preserve">▲8.平台应设置灵活的、合理的、主客观相结合的评价机制，设置平台自动评分和教师自主评分两部分。 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二、功能要求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（一）管理员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（二）教师端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1.实训管理：实训任务部署：选择实训平台及任务，将任务部署到班级并上课。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2.实训历史：查看各班级实训历史记录。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3.成绩管理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3.1评分：查看学生完成的实训任务并给出主观性评分、评语。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3.2学生成绩：查看学生实训任务客观成绩及教师主观评分，通过搜索学生查看成绩。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3.3班级成绩：通过图表的形式，对比查看各班级成绩。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4.学生管理：查看、删除、冻结学生、学生密码的重置、批量管理学生账号。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5.班级管理：创建、修改、删除班级、批量管理班级。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（三）学生端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1.实训任务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速卖通仿真站：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1、首页：展示当前学生任务完成进度、任务得分、任务排名。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2、环球速卖实战中心：卖家、买家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（1）卖家中心：产品管理、交易、消息中心、店铺、账号及认证、营销活动、数据纵横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（2）买家中心：包含 My Orders； Message Center； Wish List； My Favourite Stores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3、任务学习中心：浏览学习内容和任务完成的情况。功能包括：任务测评、学习中心。（须提供相关软件操作截图证明，并加盖公章）。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亚马逊仿真站：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平台教师端应开发任务进度、评阅中心、任务管理中心、实训排名等功能模块，支持教师监控实训情况，评阅实训成绩，调整实训内容，以及对单个学生重置实训任务；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2</w:t>
            </w: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、平台学生端应开发强化训练、知识库、习题库等功能模块，夯实学生理论基础，促进理论教学与实践教学相互促进、相互融合；</w:t>
            </w:r>
          </w:p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  <w:r>
              <w:rPr>
                <w:rFonts w:cs="仿宋" w:asciiTheme="minorEastAsia" w:hAnsiTheme="minorEastAsia"/>
                <w:bCs/>
                <w:kern w:val="0"/>
                <w:lang w:bidi="ar"/>
              </w:rPr>
              <w:t>3、</w:t>
            </w:r>
            <w:r>
              <w:rPr>
                <w:rFonts w:hint="eastAsia" w:cs="仿宋" w:asciiTheme="minorEastAsia" w:hAnsiTheme="minorEastAsia"/>
                <w:bCs/>
                <w:kern w:val="0"/>
                <w:lang w:bidi="ar"/>
              </w:rPr>
              <w:t>平台学生端我的任务：①．作答类任务：作答类题目有客观题和主观题两种形式；可以根据自己的喜欢切换作答模式（单题和全部）。②．实操类任务：亚马逊卖家用户操作流程任务、买家用户操作流程任务。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4</w:t>
            </w: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.全球售实训中心：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（1）注册账户：卖家账户注册、买家账户注册；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（2）卖家中心：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设置：登录信息设置、账户信息设置、商家信息设置、退货地址设置、运费设置、FBA设置。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帮助：查看我的任务、资料中心、帮助文档；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库存：库存管理、转换FBA运输方式、添加商品、通过上传添加商品、FBA运输管理。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定价：匹配最低价、删除产品、转换FBA运输、转换自配送、保存、查询。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订单：管理订单、管理退货；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活动：创建促销、促销管理、产品组管理；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邮件：收发、编辑、删除邮件；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（3）买家中心：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账户设置：登录信息设置、收货地址设置、消息中心以及订单管理。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订单操作：买家下单、取消订单、联系卖家、申请退货、商品评论、订单存档、订单详情、查询订单；</w:t>
            </w:r>
          </w:p>
          <w:p>
            <w:pPr>
              <w:framePr w:wrap="auto" w:vAnchor="margin" w:hAnchor="text" w:yAlign="inline"/>
              <w:ind w:left="840" w:leftChars="400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购物车操作：查看、删除、收藏购物产商品；</w:t>
            </w:r>
          </w:p>
          <w:p>
            <w:pP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5</w:t>
            </w: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.强化训练：配有四套强化训练习题的作答；</w:t>
            </w:r>
          </w:p>
          <w:p>
            <w:pPr>
              <w:framePr w:wrap="auto" w:vAnchor="margin" w:hAnchor="text" w:yAlign="inline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>三、资源服务要求：</w:t>
            </w:r>
          </w:p>
          <w:p>
            <w:pPr>
              <w:framePr w:wrap="auto" w:vAnchor="margin" w:hAnchor="text" w:yAlign="inline"/>
              <w:rPr>
                <w:rFonts w:hint="default"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</w:pPr>
            <w:r>
              <w:rPr>
                <w:rFonts w:cs="仿宋" w:asciiTheme="minorEastAsia" w:hAnsiTheme="minorEastAsia" w:eastAsiaTheme="minorEastAsia"/>
                <w:bCs/>
                <w:color w:val="auto"/>
                <w:kern w:val="0"/>
                <w:szCs w:val="22"/>
                <w:lang w:bidi="ar"/>
              </w:rPr>
              <w:t xml:space="preserve">★中标方必须为院校提供跨境电子商务课程相关教学资源包，包括： </w:t>
            </w:r>
          </w:p>
          <w:tbl>
            <w:tblPr>
              <w:tblStyle w:val="7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6"/>
              <w:gridCol w:w="1773"/>
              <w:gridCol w:w="6010"/>
              <w:gridCol w:w="21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</w:p>
              </w:tc>
              <w:tc>
                <w:tcPr>
                  <w:tcW w:w="846" w:type="pct"/>
                  <w:shd w:val="clear" w:color="auto" w:fill="595959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模块</w:t>
                  </w:r>
                </w:p>
              </w:tc>
              <w:tc>
                <w:tcPr>
                  <w:tcW w:w="2867" w:type="pct"/>
                  <w:shd w:val="clear" w:color="auto" w:fill="595959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内容</w:t>
                  </w:r>
                </w:p>
              </w:tc>
              <w:tc>
                <w:tcPr>
                  <w:tcW w:w="1003" w:type="pct"/>
                  <w:shd w:val="clear" w:color="auto" w:fill="595959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846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视频</w:t>
                  </w:r>
                </w:p>
              </w:tc>
              <w:tc>
                <w:tcPr>
                  <w:tcW w:w="2867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课外扩展、课堂补充的跨境电商类视频课程。</w:t>
                  </w: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20节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846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课件</w:t>
                  </w:r>
                </w:p>
              </w:tc>
              <w:tc>
                <w:tcPr>
                  <w:tcW w:w="2867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满足跨境电商教学知识点需要，结合当前跨境电商发展形态的PPT课件。</w:t>
                  </w: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20个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846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作业</w:t>
                  </w:r>
                </w:p>
              </w:tc>
              <w:tc>
                <w:tcPr>
                  <w:tcW w:w="2867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配合教学知识点的随堂训练与作业。</w:t>
                  </w: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20个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846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使用说明</w:t>
                  </w:r>
                </w:p>
              </w:tc>
              <w:tc>
                <w:tcPr>
                  <w:tcW w:w="2867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教学包使用说明。</w:t>
                  </w: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1套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5</w:t>
                  </w:r>
                </w:p>
              </w:tc>
              <w:tc>
                <w:tcPr>
                  <w:tcW w:w="846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教学课时安排</w:t>
                  </w:r>
                </w:p>
              </w:tc>
              <w:tc>
                <w:tcPr>
                  <w:tcW w:w="2867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课程教学包使用建议。</w:t>
                  </w:r>
                </w:p>
              </w:tc>
              <w:tc>
                <w:tcPr>
                  <w:tcW w:w="1003" w:type="pct"/>
                  <w:shd w:val="clear" w:color="auto" w:fill="auto"/>
                  <w:vAlign w:val="center"/>
                </w:tcPr>
                <w:p>
                  <w:pPr>
                    <w:framePr w:wrap="auto" w:vAnchor="margin" w:hAnchor="text" w:yAlign="inline"/>
                    <w:jc w:val="center"/>
                    <w:rPr>
                      <w:rFonts w:hint="default"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</w:pPr>
                  <w:r>
                    <w:rPr>
                      <w:rFonts w:cs="仿宋" w:asciiTheme="minorEastAsia" w:hAnsiTheme="minorEastAsia" w:eastAsiaTheme="minorEastAsia"/>
                      <w:bCs/>
                      <w:color w:val="auto"/>
                      <w:kern w:val="0"/>
                      <w:szCs w:val="22"/>
                      <w:lang w:bidi="ar"/>
                    </w:rPr>
                    <w:t>1套</w:t>
                  </w:r>
                </w:p>
              </w:tc>
            </w:tr>
          </w:tbl>
          <w:p>
            <w:pPr>
              <w:pStyle w:val="16"/>
              <w:ind w:firstLine="0" w:firstLineChars="0"/>
              <w:rPr>
                <w:rFonts w:cs="仿宋" w:asciiTheme="minorEastAsia" w:hAnsiTheme="minorEastAsia"/>
                <w:bCs/>
                <w:kern w:val="0"/>
                <w:lang w:bidi="ar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lang w:val="zh-TW" w:eastAsia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lang w:val="zh-TW"/>
              </w:rPr>
              <w:t>套</w:t>
            </w:r>
          </w:p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  <w:r>
              <w:rPr>
                <w:rFonts w:cs="宋体" w:asciiTheme="minorEastAsia" w:hAnsiTheme="minorEastAsia" w:eastAsiaTheme="minorEastAsia"/>
                <w:color w:val="auto"/>
              </w:rPr>
              <w:t>1</w:t>
            </w:r>
          </w:p>
          <w:p>
            <w:pPr>
              <w:framePr w:wrap="auto" w:vAnchor="margin" w:hAnchor="text" w:yAlign="inline"/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13"/>
        <w:framePr w:wrap="auto" w:vAnchor="margin" w:hAnchor="text" w:yAlign="inline"/>
        <w:ind w:firstLine="0"/>
        <w:rPr>
          <w:rFonts w:hint="default" w:ascii="宋体" w:hAnsi="宋体" w:eastAsia="PMingLiU" w:cs="宋体"/>
          <w:sz w:val="24"/>
          <w:szCs w:val="24"/>
          <w:lang w:eastAsia="zh-TW"/>
        </w:rPr>
        <w:sectPr>
          <w:pgSz w:w="16840" w:h="11900" w:orient="landscape"/>
          <w:pgMar w:top="1315" w:right="1134" w:bottom="1440" w:left="1134" w:header="851" w:footer="992" w:gutter="0"/>
          <w:cols w:space="0" w:num="1"/>
        </w:sectPr>
      </w:pP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b/>
          <w:bCs/>
          <w:sz w:val="24"/>
          <w:szCs w:val="24"/>
          <w:lang w:val="zh-TW"/>
        </w:rPr>
      </w:pP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b/>
          <w:bCs/>
          <w:sz w:val="24"/>
          <w:szCs w:val="24"/>
          <w:lang w:val="zh-TW" w:eastAsia="zh-TW"/>
        </w:rPr>
      </w:pPr>
      <w:r>
        <w:rPr>
          <w:rFonts w:ascii="宋体" w:hAnsi="宋体" w:eastAsia="宋体" w:cs="宋体"/>
          <w:b/>
          <w:bCs/>
          <w:sz w:val="24"/>
          <w:szCs w:val="24"/>
          <w:lang w:val="zh-TW"/>
        </w:rPr>
        <w:t>四</w:t>
      </w: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>、服务需求</w:t>
      </w:r>
    </w:p>
    <w:p>
      <w:pPr>
        <w:pStyle w:val="13"/>
        <w:framePr w:wrap="auto" w:vAnchor="margin" w:hAnchor="text" w:yAlign="inline"/>
        <w:spacing w:line="360" w:lineRule="auto"/>
        <w:ind w:firstLine="240" w:firstLineChars="100"/>
        <w:jc w:val="left"/>
        <w:rPr>
          <w:rFonts w:hint="default" w:ascii="宋体" w:hAnsi="宋体" w:eastAsia="宋体" w:cs="宋体"/>
          <w:sz w:val="24"/>
          <w:szCs w:val="24"/>
          <w:lang w:val="zh-TW"/>
        </w:rPr>
      </w:pPr>
      <w:r>
        <w:rPr>
          <w:rFonts w:ascii="宋体" w:hAnsi="宋体" w:eastAsia="宋体" w:cs="宋体"/>
          <w:sz w:val="24"/>
          <w:szCs w:val="24"/>
        </w:rPr>
        <w:t>1.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乙方交付的产品质量保证期为</w:t>
      </w:r>
      <w:r>
        <w:rPr>
          <w:rFonts w:hint="default"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年，自该产品经甲方验收合格签字之日起算。</w:t>
      </w:r>
    </w:p>
    <w:p>
      <w:pPr>
        <w:pStyle w:val="13"/>
        <w:framePr w:wrap="auto" w:vAnchor="margin" w:hAnchor="text" w:yAlign="inline"/>
        <w:spacing w:line="360" w:lineRule="auto"/>
        <w:ind w:firstLine="240" w:firstLineChars="100"/>
        <w:jc w:val="left"/>
        <w:rPr>
          <w:rFonts w:hint="default" w:ascii="宋体" w:hAnsi="宋体" w:eastAsia="宋体" w:cs="宋体"/>
          <w:sz w:val="24"/>
          <w:szCs w:val="24"/>
          <w:lang w:val="zh-TW"/>
        </w:rPr>
      </w:pPr>
      <w:r>
        <w:rPr>
          <w:rFonts w:ascii="宋体" w:hAnsi="宋体" w:eastAsia="宋体" w:cs="宋体"/>
          <w:sz w:val="24"/>
          <w:szCs w:val="24"/>
        </w:rPr>
        <w:t>2.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自质量保证期到期之日起，由供应商提供不少于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年免费保修服务（另有特别说明的，按其要求执行）</w:t>
      </w:r>
      <w:r>
        <w:rPr>
          <w:rFonts w:ascii="宋体" w:hAnsi="宋体" w:eastAsia="宋体" w:cs="宋体"/>
          <w:sz w:val="24"/>
          <w:szCs w:val="24"/>
          <w:lang w:val="zh-TW"/>
        </w:rPr>
        <w:t>，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免费保修期届满后，如甲方需要乙方继续提供维护服务，由甲乙双方另行协商。</w:t>
      </w:r>
    </w:p>
    <w:p>
      <w:pPr>
        <w:pStyle w:val="13"/>
        <w:framePr w:wrap="auto" w:vAnchor="margin" w:hAnchor="text" w:yAlign="inline"/>
        <w:spacing w:line="360" w:lineRule="auto"/>
        <w:ind w:firstLine="210" w:firstLineChars="100"/>
        <w:jc w:val="left"/>
        <w:rPr>
          <w:rFonts w:hint="default" w:ascii="宋体" w:hAnsi="宋体" w:eastAsia="宋体" w:cs="宋体"/>
          <w:lang w:val="zh-TW"/>
        </w:rPr>
      </w:pP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                                           </w:t>
      </w:r>
    </w:p>
    <w:p>
      <w:pPr>
        <w:pStyle w:val="13"/>
        <w:framePr w:wrap="auto" w:vAnchor="margin" w:hAnchor="text" w:yAlign="inline"/>
        <w:spacing w:line="360" w:lineRule="auto"/>
        <w:ind w:firstLine="0"/>
        <w:rPr>
          <w:rFonts w:hint="default" w:ascii="宋体" w:hAnsi="宋体" w:eastAsia="宋体" w:cs="宋体"/>
          <w:color w:val="0070C0"/>
          <w:u w:color="0070C0"/>
        </w:rPr>
      </w:pPr>
    </w:p>
    <w:sectPr>
      <w:headerReference r:id="rId9" w:type="default"/>
      <w:pgSz w:w="11900" w:h="16840"/>
      <w:pgMar w:top="1440" w:right="1134" w:bottom="1318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/>
      <w:rPr>
        <w:rFonts w:hint="defaul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</w:pPr>
  </w:p>
  <w:p>
    <w:pPr>
      <w:pStyle w:val="12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C07"/>
    <w:multiLevelType w:val="multilevel"/>
    <w:tmpl w:val="606B2C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82AB40"/>
    <w:multiLevelType w:val="singleLevel"/>
    <w:tmpl w:val="6282AB40"/>
    <w:lvl w:ilvl="0" w:tentative="0">
      <w:start w:val="3"/>
      <w:numFmt w:val="chineseCounting"/>
      <w:suff w:val="nothing"/>
      <w:lvlText w:val="%1、"/>
      <w:lvlJc w:val="left"/>
      <w:pPr>
        <w:ind w:left="12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8"/>
    <w:rsid w:val="000412AD"/>
    <w:rsid w:val="000756AE"/>
    <w:rsid w:val="0007675A"/>
    <w:rsid w:val="00085376"/>
    <w:rsid w:val="000868FA"/>
    <w:rsid w:val="0009319F"/>
    <w:rsid w:val="000A595B"/>
    <w:rsid w:val="000A6CF7"/>
    <w:rsid w:val="000C1A14"/>
    <w:rsid w:val="00101B81"/>
    <w:rsid w:val="0019309A"/>
    <w:rsid w:val="001A7742"/>
    <w:rsid w:val="001B69F4"/>
    <w:rsid w:val="001C241F"/>
    <w:rsid w:val="001C2901"/>
    <w:rsid w:val="001C4FB4"/>
    <w:rsid w:val="001C5795"/>
    <w:rsid w:val="001D42E4"/>
    <w:rsid w:val="00266056"/>
    <w:rsid w:val="0029497E"/>
    <w:rsid w:val="002B19D1"/>
    <w:rsid w:val="002C56C1"/>
    <w:rsid w:val="002E0867"/>
    <w:rsid w:val="002E1E7B"/>
    <w:rsid w:val="00324D0E"/>
    <w:rsid w:val="00384EE5"/>
    <w:rsid w:val="003C5449"/>
    <w:rsid w:val="003E4115"/>
    <w:rsid w:val="003F5A91"/>
    <w:rsid w:val="0040568B"/>
    <w:rsid w:val="00443915"/>
    <w:rsid w:val="00451901"/>
    <w:rsid w:val="004816CF"/>
    <w:rsid w:val="004973A2"/>
    <w:rsid w:val="00497E36"/>
    <w:rsid w:val="004D1C27"/>
    <w:rsid w:val="004F0ACB"/>
    <w:rsid w:val="004F6D78"/>
    <w:rsid w:val="004F710F"/>
    <w:rsid w:val="0050174A"/>
    <w:rsid w:val="00555DBC"/>
    <w:rsid w:val="00560200"/>
    <w:rsid w:val="005669C8"/>
    <w:rsid w:val="005673EA"/>
    <w:rsid w:val="005E645B"/>
    <w:rsid w:val="005F28D2"/>
    <w:rsid w:val="00602728"/>
    <w:rsid w:val="0060356C"/>
    <w:rsid w:val="00683314"/>
    <w:rsid w:val="006C180B"/>
    <w:rsid w:val="00701DDA"/>
    <w:rsid w:val="00702C4D"/>
    <w:rsid w:val="00715785"/>
    <w:rsid w:val="007366A7"/>
    <w:rsid w:val="00746691"/>
    <w:rsid w:val="0077035F"/>
    <w:rsid w:val="00782222"/>
    <w:rsid w:val="007F055E"/>
    <w:rsid w:val="0080031C"/>
    <w:rsid w:val="00803A42"/>
    <w:rsid w:val="00820AE6"/>
    <w:rsid w:val="00845591"/>
    <w:rsid w:val="00853CF9"/>
    <w:rsid w:val="00897AC9"/>
    <w:rsid w:val="008C3A83"/>
    <w:rsid w:val="00903938"/>
    <w:rsid w:val="009139B6"/>
    <w:rsid w:val="0091683F"/>
    <w:rsid w:val="00934757"/>
    <w:rsid w:val="009713A8"/>
    <w:rsid w:val="00974D5C"/>
    <w:rsid w:val="00982900"/>
    <w:rsid w:val="009A369E"/>
    <w:rsid w:val="009B2643"/>
    <w:rsid w:val="009C1D47"/>
    <w:rsid w:val="00A076FD"/>
    <w:rsid w:val="00A55A4B"/>
    <w:rsid w:val="00A642EF"/>
    <w:rsid w:val="00A81BAF"/>
    <w:rsid w:val="00AB17A4"/>
    <w:rsid w:val="00AC3A27"/>
    <w:rsid w:val="00AF558F"/>
    <w:rsid w:val="00B27C3D"/>
    <w:rsid w:val="00B94D96"/>
    <w:rsid w:val="00BA71A7"/>
    <w:rsid w:val="00BB356B"/>
    <w:rsid w:val="00BB484B"/>
    <w:rsid w:val="00BB6A05"/>
    <w:rsid w:val="00BD7CBD"/>
    <w:rsid w:val="00C9628E"/>
    <w:rsid w:val="00CB3240"/>
    <w:rsid w:val="00D055A9"/>
    <w:rsid w:val="00D20C37"/>
    <w:rsid w:val="00D5279D"/>
    <w:rsid w:val="00D7062D"/>
    <w:rsid w:val="00D72808"/>
    <w:rsid w:val="00DE1987"/>
    <w:rsid w:val="00E00A62"/>
    <w:rsid w:val="00E07225"/>
    <w:rsid w:val="00E134D1"/>
    <w:rsid w:val="00E16C52"/>
    <w:rsid w:val="00E232BD"/>
    <w:rsid w:val="00E5277A"/>
    <w:rsid w:val="00E55A19"/>
    <w:rsid w:val="00EC7B62"/>
    <w:rsid w:val="00ED4A77"/>
    <w:rsid w:val="00EE38BF"/>
    <w:rsid w:val="00F35AB9"/>
    <w:rsid w:val="00F83333"/>
    <w:rsid w:val="00F92208"/>
    <w:rsid w:val="00FA0099"/>
    <w:rsid w:val="00FC5AE0"/>
    <w:rsid w:val="00FD3391"/>
    <w:rsid w:val="01FC7814"/>
    <w:rsid w:val="10EF3323"/>
    <w:rsid w:val="1D045C32"/>
    <w:rsid w:val="1F832F7E"/>
    <w:rsid w:val="22FB58BE"/>
    <w:rsid w:val="240D46C8"/>
    <w:rsid w:val="2C545CCD"/>
    <w:rsid w:val="416A342D"/>
    <w:rsid w:val="4182144E"/>
    <w:rsid w:val="44800139"/>
    <w:rsid w:val="625974AC"/>
    <w:rsid w:val="628C1B2E"/>
    <w:rsid w:val="65007DDE"/>
    <w:rsid w:val="74CC7BE3"/>
    <w:rsid w:val="75F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/>
      <w:autoSpaceDE w:val="0"/>
      <w:autoSpaceDN w:val="0"/>
      <w:adjustRightInd w:val="0"/>
      <w:jc w:val="left"/>
    </w:pPr>
    <w:rPr>
      <w:rFonts w:ascii="宋体" w:hAnsi="Tahoma"/>
      <w:sz w:val="28"/>
      <w:szCs w:val="20"/>
    </w:rPr>
  </w:style>
  <w:style w:type="paragraph" w:styleId="3">
    <w:name w:val="Plain Text"/>
    <w:basedOn w:val="1"/>
    <w:link w:val="20"/>
    <w:unhideWhenUsed/>
    <w:qFormat/>
    <w:uiPriority w:val="99"/>
    <w:pPr>
      <w:framePr w:yAlign="inline"/>
    </w:pPr>
    <w:rPr>
      <w:rFonts w:hint="default" w:ascii="Times New Roman" w:hAnsi="Times New Roman" w:eastAsia="宋体" w:cs="Times New Roman"/>
      <w:color w:val="auto"/>
      <w:szCs w:val="20"/>
    </w:rPr>
  </w:style>
  <w:style w:type="paragraph" w:styleId="4">
    <w:name w:val="Balloon Text"/>
    <w:basedOn w:val="1"/>
    <w:link w:val="19"/>
    <w:qFormat/>
    <w:uiPriority w:val="0"/>
    <w:pPr>
      <w:framePr/>
    </w:pPr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framePr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qFormat/>
    <w:uiPriority w:val="0"/>
    <w:pPr>
      <w:framePr w:wrap="around" w:vAnchor="margin" w:hAnchor="text" w:y="1"/>
      <w:widowControl w:val="0"/>
      <w:ind w:firstLine="42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0"/>
    <w:rPr>
      <w:rFonts w:ascii="Arial Unicode MS" w:hAnsi="Arial Unicode MS" w:eastAsia="Times New Roman" w:cs="Arial Unicode MS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9"/>
    <w:link w:val="5"/>
    <w:qFormat/>
    <w:uiPriority w:val="0"/>
    <w:rPr>
      <w:rFonts w:ascii="Arial Unicode MS" w:hAnsi="Arial Unicode MS" w:eastAsia="Times New Roman" w:cs="Arial Unicode MS"/>
      <w:color w:val="000000"/>
      <w:kern w:val="2"/>
      <w:sz w:val="18"/>
      <w:szCs w:val="18"/>
      <w:u w:color="000000"/>
    </w:rPr>
  </w:style>
  <w:style w:type="paragraph" w:styleId="16">
    <w:name w:val="List Paragraph"/>
    <w:basedOn w:val="1"/>
    <w:qFormat/>
    <w:uiPriority w:val="1"/>
    <w:pPr>
      <w:framePr/>
      <w:ind w:firstLine="420" w:firstLineChars="200"/>
    </w:pPr>
    <w:rPr>
      <w:rFonts w:hint="default" w:asciiTheme="minorHAnsi" w:hAnsiTheme="minorHAnsi" w:eastAsiaTheme="minorEastAsia" w:cstheme="minorBidi"/>
      <w:color w:val="auto"/>
      <w:szCs w:val="22"/>
    </w:rPr>
  </w:style>
  <w:style w:type="paragraph" w:customStyle="1" w:styleId="17">
    <w:name w:val="列出段落11"/>
    <w:basedOn w:val="1"/>
    <w:qFormat/>
    <w:uiPriority w:val="0"/>
    <w:pPr>
      <w:framePr/>
      <w:ind w:firstLine="420" w:firstLineChars="200"/>
    </w:pPr>
    <w:rPr>
      <w:rFonts w:hint="default" w:ascii="Calibri" w:hAnsi="Calibri" w:eastAsia="宋体" w:cs="黑体"/>
      <w:color w:val="auto"/>
      <w:szCs w:val="22"/>
    </w:rPr>
  </w:style>
  <w:style w:type="character" w:customStyle="1" w:styleId="18">
    <w:name w:val="标题1"/>
    <w:qFormat/>
    <w:uiPriority w:val="0"/>
    <w:rPr>
      <w:rFonts w:ascii="Tahoma" w:hAnsi="Tahoma"/>
      <w:sz w:val="24"/>
    </w:rPr>
  </w:style>
  <w:style w:type="character" w:customStyle="1" w:styleId="19">
    <w:name w:val="批注框文本 Char"/>
    <w:basedOn w:val="9"/>
    <w:link w:val="4"/>
    <w:qFormat/>
    <w:uiPriority w:val="0"/>
    <w:rPr>
      <w:rFonts w:ascii="Arial Unicode MS" w:hAnsi="Arial Unicode MS" w:eastAsia="Times New Roman" w:cs="Arial Unicode MS"/>
      <w:color w:val="000000"/>
      <w:kern w:val="2"/>
      <w:sz w:val="18"/>
      <w:szCs w:val="18"/>
      <w:u w:color="000000"/>
    </w:rPr>
  </w:style>
  <w:style w:type="character" w:customStyle="1" w:styleId="20">
    <w:name w:val="纯文本 Char"/>
    <w:basedOn w:val="9"/>
    <w:link w:val="3"/>
    <w:qFormat/>
    <w:uiPriority w:val="99"/>
    <w:rPr>
      <w:kern w:val="2"/>
      <w:sz w:val="21"/>
    </w:rPr>
  </w:style>
  <w:style w:type="paragraph" w:customStyle="1" w:styleId="21">
    <w:name w:val="Table Paragraph"/>
    <w:basedOn w:val="1"/>
    <w:qFormat/>
    <w:uiPriority w:val="1"/>
    <w:pPr>
      <w:framePr w:yAlign="inline"/>
    </w:pPr>
    <w:rPr>
      <w:rFonts w:hint="default" w:ascii="Calibri" w:hAnsi="Calibri" w:eastAsia="宋体" w:cs="Times New Roman"/>
      <w:color w:val="auto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47E0C-8BA4-42DA-B5A5-C3BA2AA8A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399</Words>
  <Characters>2280</Characters>
  <Lines>19</Lines>
  <Paragraphs>5</Paragraphs>
  <TotalTime>160</TotalTime>
  <ScaleCrop>false</ScaleCrop>
  <LinksUpToDate>false</LinksUpToDate>
  <CharactersWithSpaces>2674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2020-05-25T08:19:00Z</dcterms:created>
  <dc:creator>Administrator</dc:creator>
  <cp:lastModifiedBy>Pc</cp:lastModifiedBy>
  <cp:lastPrinted>2019-12-11T08:20:00Z</cp:lastPrinted>
  <dcterms:modified xsi:type="dcterms:W3CDTF">2020-07-23T01:34:54Z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