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b/>
          <w:sz w:val="32"/>
          <w:szCs w:val="32"/>
        </w:rPr>
      </w:pPr>
      <w:r>
        <w:rPr>
          <w:rFonts w:hint="eastAsia" w:ascii="宋体" w:hAnsi="宋体"/>
          <w:b/>
          <w:sz w:val="32"/>
          <w:szCs w:val="32"/>
          <w:lang w:val="en-US" w:eastAsia="zh-CN"/>
        </w:rPr>
        <w:t>智能专业实验室实验设备</w:t>
      </w:r>
      <w:r>
        <w:rPr>
          <w:rFonts w:hint="eastAsia" w:ascii="宋体" w:hAnsi="宋体"/>
          <w:b/>
          <w:sz w:val="32"/>
          <w:szCs w:val="32"/>
        </w:rPr>
        <w:t>项目用户需求书</w:t>
      </w:r>
    </w:p>
    <w:p>
      <w:pPr>
        <w:pStyle w:val="8"/>
        <w:spacing w:line="360" w:lineRule="auto"/>
        <w:ind w:firstLine="0" w:firstLineChars="0"/>
        <w:rPr>
          <w:b/>
          <w:sz w:val="24"/>
          <w:szCs w:val="24"/>
        </w:rPr>
      </w:pPr>
      <w:r>
        <w:rPr>
          <w:rFonts w:hint="eastAsia"/>
          <w:b/>
          <w:sz w:val="24"/>
          <w:szCs w:val="24"/>
        </w:rPr>
        <w:t xml:space="preserve">    一、采购范围</w:t>
      </w:r>
    </w:p>
    <w:p>
      <w:pPr>
        <w:pStyle w:val="8"/>
        <w:spacing w:line="360" w:lineRule="auto"/>
        <w:ind w:firstLine="480" w:firstLineChars="0"/>
        <w:rPr>
          <w:rFonts w:hint="eastAsia" w:ascii="华文宋体" w:hAnsi="华文宋体" w:eastAsia="华文宋体"/>
          <w:sz w:val="24"/>
          <w:szCs w:val="24"/>
          <w:lang w:eastAsia="zh-CN"/>
        </w:rPr>
      </w:pPr>
      <w:r>
        <w:rPr>
          <w:rFonts w:hint="eastAsia" w:ascii="华文宋体" w:hAnsi="华文宋体" w:eastAsia="华文宋体"/>
          <w:sz w:val="24"/>
          <w:szCs w:val="24"/>
        </w:rPr>
        <w:t>1.</w:t>
      </w:r>
      <w:r>
        <w:rPr>
          <w:rFonts w:ascii="华文宋体" w:hAnsi="华文宋体" w:eastAsia="华文宋体"/>
          <w:sz w:val="24"/>
          <w:szCs w:val="24"/>
        </w:rPr>
        <w:tab/>
      </w:r>
      <w:r>
        <w:rPr>
          <w:rFonts w:hint="eastAsia" w:ascii="华文宋体" w:hAnsi="华文宋体" w:eastAsia="华文宋体"/>
          <w:sz w:val="24"/>
          <w:szCs w:val="24"/>
        </w:rPr>
        <w:t>数量清单如下，项目预算为95.30万元</w:t>
      </w:r>
      <w:r>
        <w:rPr>
          <w:rFonts w:hint="eastAsia" w:ascii="华文宋体" w:hAnsi="华文宋体" w:eastAsia="华文宋体"/>
          <w:sz w:val="24"/>
          <w:szCs w:val="24"/>
          <w:lang w:eastAsia="zh-CN"/>
        </w:rPr>
        <w:t>。</w:t>
      </w:r>
    </w:p>
    <w:tbl>
      <w:tblPr>
        <w:tblStyle w:val="4"/>
        <w:tblW w:w="6966" w:type="dxa"/>
        <w:jc w:val="center"/>
        <w:tblLayout w:type="fixed"/>
        <w:tblCellMar>
          <w:top w:w="0" w:type="dxa"/>
          <w:left w:w="108" w:type="dxa"/>
          <w:bottom w:w="0" w:type="dxa"/>
          <w:right w:w="108" w:type="dxa"/>
        </w:tblCellMar>
      </w:tblPr>
      <w:tblGrid>
        <w:gridCol w:w="1505"/>
        <w:gridCol w:w="2910"/>
        <w:gridCol w:w="1275"/>
        <w:gridCol w:w="1276"/>
      </w:tblGrid>
      <w:tr>
        <w:tblPrEx>
          <w:tblCellMar>
            <w:top w:w="0" w:type="dxa"/>
            <w:left w:w="108" w:type="dxa"/>
            <w:bottom w:w="0" w:type="dxa"/>
            <w:right w:w="108" w:type="dxa"/>
          </w:tblCellMar>
        </w:tblPrEx>
        <w:trPr>
          <w:trHeight w:val="7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b/>
                <w:bCs/>
                <w:sz w:val="22"/>
                <w:szCs w:val="22"/>
              </w:rPr>
            </w:pPr>
            <w:r>
              <w:rPr>
                <w:rFonts w:hint="eastAsia" w:ascii="华文宋体" w:hAnsi="华文宋体" w:eastAsia="华文宋体"/>
                <w:b/>
                <w:bCs/>
                <w:sz w:val="22"/>
                <w:szCs w:val="22"/>
              </w:rPr>
              <w:t>序号</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b/>
                <w:bCs/>
                <w:sz w:val="22"/>
                <w:szCs w:val="22"/>
              </w:rPr>
            </w:pPr>
            <w:r>
              <w:rPr>
                <w:rFonts w:hint="eastAsia" w:ascii="华文宋体" w:hAnsi="华文宋体" w:eastAsia="华文宋体"/>
                <w:b/>
                <w:bCs/>
                <w:sz w:val="22"/>
                <w:szCs w:val="22"/>
              </w:rPr>
              <w:t>设备（货物）名称</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b/>
                <w:bCs/>
                <w:sz w:val="22"/>
                <w:szCs w:val="22"/>
              </w:rPr>
            </w:pPr>
            <w:r>
              <w:rPr>
                <w:rFonts w:hint="eastAsia" w:ascii="华文宋体" w:hAnsi="华文宋体" w:eastAsia="华文宋体"/>
                <w:b/>
                <w:bCs/>
                <w:sz w:val="22"/>
                <w:szCs w:val="22"/>
              </w:rPr>
              <w:t>单位</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b/>
                <w:bCs/>
                <w:sz w:val="22"/>
                <w:szCs w:val="22"/>
              </w:rPr>
            </w:pPr>
            <w:r>
              <w:rPr>
                <w:rFonts w:hint="eastAsia" w:ascii="华文宋体" w:hAnsi="华文宋体" w:eastAsia="华文宋体"/>
                <w:b/>
                <w:bCs/>
                <w:sz w:val="22"/>
                <w:szCs w:val="22"/>
              </w:rPr>
              <w:t>数量</w:t>
            </w:r>
          </w:p>
        </w:tc>
      </w:tr>
      <w:tr>
        <w:tblPrEx>
          <w:tblCellMar>
            <w:top w:w="0" w:type="dxa"/>
            <w:left w:w="108" w:type="dxa"/>
            <w:bottom w:w="0" w:type="dxa"/>
            <w:right w:w="108" w:type="dxa"/>
          </w:tblCellMar>
        </w:tblPrEx>
        <w:trPr>
          <w:trHeight w:val="315"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边缘计算终端</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台</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41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2</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人工智能算力单元</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套</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4</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3</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算力传输单元</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台</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4</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人工智能实验平台</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套</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5</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人工智能基础课程包</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套</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6</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显示器和鼠标键盘</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套</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41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7</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机柜</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台</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8</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ascii="华文宋体" w:hAnsi="华文宋体" w:eastAsia="华文宋体"/>
                <w:sz w:val="22"/>
                <w:szCs w:val="22"/>
              </w:rPr>
              <w:t>Kvm</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台</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9</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网络设备</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台</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10</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无线话咪</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套</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11</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功放音箱设备</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套</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12</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立式空调</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台</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13</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电源及网络布线</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套</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r>
        <w:tblPrEx>
          <w:tblCellMar>
            <w:top w:w="0" w:type="dxa"/>
            <w:left w:w="108" w:type="dxa"/>
            <w:bottom w:w="0" w:type="dxa"/>
            <w:right w:w="108" w:type="dxa"/>
          </w:tblCellMar>
        </w:tblPrEx>
        <w:trPr>
          <w:trHeight w:val="658" w:hRule="atLeast"/>
          <w:jc w:val="center"/>
        </w:trPr>
        <w:tc>
          <w:tcPr>
            <w:tcW w:w="1505"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14</w:t>
            </w:r>
          </w:p>
        </w:tc>
        <w:tc>
          <w:tcPr>
            <w:tcW w:w="2910"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配套增值服务</w:t>
            </w:r>
          </w:p>
        </w:tc>
        <w:tc>
          <w:tcPr>
            <w:tcW w:w="1275"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套</w:t>
            </w:r>
          </w:p>
        </w:tc>
        <w:tc>
          <w:tcPr>
            <w:tcW w:w="1276" w:type="dxa"/>
            <w:tcBorders>
              <w:top w:val="single" w:color="auto" w:sz="4" w:space="0"/>
              <w:left w:val="nil"/>
              <w:bottom w:val="single" w:color="auto" w:sz="4" w:space="0"/>
              <w:right w:val="single" w:color="auto" w:sz="4" w:space="0"/>
            </w:tcBorders>
            <w:noWrap w:val="0"/>
            <w:vAlign w:val="center"/>
          </w:tcPr>
          <w:p>
            <w:pPr>
              <w:pStyle w:val="8"/>
              <w:spacing w:line="360" w:lineRule="auto"/>
              <w:ind w:firstLine="0" w:firstLineChars="0"/>
              <w:jc w:val="center"/>
              <w:rPr>
                <w:rFonts w:ascii="华文宋体" w:hAnsi="华文宋体" w:eastAsia="华文宋体"/>
                <w:sz w:val="22"/>
                <w:szCs w:val="22"/>
              </w:rPr>
            </w:pPr>
            <w:r>
              <w:rPr>
                <w:rFonts w:hint="eastAsia" w:ascii="华文宋体" w:hAnsi="华文宋体" w:eastAsia="华文宋体"/>
                <w:sz w:val="22"/>
                <w:szCs w:val="22"/>
              </w:rPr>
              <w:t>1</w:t>
            </w:r>
          </w:p>
        </w:tc>
      </w:tr>
    </w:tbl>
    <w:p>
      <w:pPr>
        <w:pStyle w:val="8"/>
        <w:spacing w:line="360" w:lineRule="auto"/>
        <w:ind w:firstLine="480" w:firstLineChars="0"/>
        <w:rPr>
          <w:rFonts w:hint="eastAsia" w:ascii="华文宋体" w:hAnsi="华文宋体" w:eastAsia="华文宋体"/>
          <w:sz w:val="24"/>
          <w:szCs w:val="24"/>
        </w:rPr>
      </w:pP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w:t>
      </w:r>
      <w:r>
        <w:rPr>
          <w:rFonts w:ascii="华文宋体" w:hAnsi="华文宋体" w:eastAsia="华文宋体"/>
          <w:sz w:val="24"/>
          <w:szCs w:val="24"/>
        </w:rPr>
        <w:t>2</w:t>
      </w:r>
      <w:r>
        <w:rPr>
          <w:rFonts w:hint="eastAsia" w:ascii="华文宋体" w:hAnsi="华文宋体" w:eastAsia="华文宋体"/>
          <w:sz w:val="24"/>
          <w:szCs w:val="24"/>
        </w:rPr>
        <w:t>.供应商需完成如下事项：</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供应商报价需包括设备及相关附件的采购、试验、包装、送货、安装、验收、培训、税费、技术服务（包括技术资料的提供）、保修期保障、其它费用等一切支出。</w:t>
      </w:r>
    </w:p>
    <w:p>
      <w:pPr>
        <w:pStyle w:val="8"/>
        <w:spacing w:line="360" w:lineRule="auto"/>
        <w:ind w:firstLine="0" w:firstLineChars="0"/>
        <w:rPr>
          <w:rFonts w:ascii="华文宋体" w:hAnsi="华文宋体" w:eastAsia="华文宋体"/>
          <w:b/>
          <w:sz w:val="24"/>
          <w:szCs w:val="24"/>
        </w:rPr>
      </w:pPr>
      <w:r>
        <w:rPr>
          <w:rFonts w:hint="eastAsia" w:ascii="华文宋体" w:hAnsi="华文宋体" w:eastAsia="华文宋体"/>
          <w:b/>
          <w:sz w:val="24"/>
          <w:szCs w:val="24"/>
        </w:rPr>
        <w:t xml:space="preserve">    二、商务需求</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1.对供应商的资格要求：</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对供应商的资格要求：国内（指按国家有关规定要求注册）注册资金</w:t>
      </w:r>
      <w:r>
        <w:rPr>
          <w:rFonts w:hint="eastAsia" w:ascii="华文宋体" w:hAnsi="华文宋体" w:eastAsia="华文宋体"/>
          <w:sz w:val="24"/>
          <w:szCs w:val="24"/>
          <w:lang w:val="en-US" w:eastAsia="zh-CN"/>
        </w:rPr>
        <w:t>2</w:t>
      </w:r>
      <w:r>
        <w:rPr>
          <w:rFonts w:hint="eastAsia" w:ascii="华文宋体" w:hAnsi="华文宋体" w:eastAsia="华文宋体"/>
          <w:sz w:val="24"/>
          <w:szCs w:val="24"/>
        </w:rPr>
        <w:t>00万元（含</w:t>
      </w:r>
      <w:r>
        <w:rPr>
          <w:rFonts w:hint="eastAsia" w:ascii="华文宋体" w:hAnsi="华文宋体" w:eastAsia="华文宋体"/>
          <w:sz w:val="24"/>
          <w:szCs w:val="24"/>
          <w:lang w:val="en-US" w:eastAsia="zh-CN"/>
        </w:rPr>
        <w:t>20</w:t>
      </w:r>
      <w:r>
        <w:rPr>
          <w:rFonts w:hint="eastAsia" w:ascii="华文宋体" w:hAnsi="华文宋体" w:eastAsia="华文宋体"/>
          <w:sz w:val="24"/>
          <w:szCs w:val="24"/>
        </w:rPr>
        <w:t>0万元）以上，具备独立法人资格；具有履行合同所必须的设备和专业技术能力；</w:t>
      </w:r>
    </w:p>
    <w:p>
      <w:pPr>
        <w:pStyle w:val="8"/>
        <w:numPr>
          <w:numId w:val="0"/>
        </w:numPr>
        <w:spacing w:line="360" w:lineRule="auto"/>
        <w:ind w:left="480" w:leftChars="0"/>
        <w:rPr>
          <w:rFonts w:hint="eastAsia" w:ascii="华文宋体" w:hAnsi="华文宋体" w:eastAsia="华文宋体"/>
          <w:bCs/>
          <w:sz w:val="24"/>
          <w:szCs w:val="24"/>
        </w:rPr>
      </w:pPr>
      <w:r>
        <w:rPr>
          <w:rFonts w:hint="eastAsia" w:ascii="华文宋体" w:hAnsi="华文宋体" w:eastAsia="华文宋体"/>
          <w:bCs/>
          <w:sz w:val="24"/>
          <w:szCs w:val="24"/>
          <w:lang w:val="en-US" w:eastAsia="zh-CN"/>
        </w:rPr>
        <w:t>2.</w:t>
      </w:r>
      <w:r>
        <w:rPr>
          <w:rFonts w:hint="eastAsia" w:ascii="华文宋体" w:hAnsi="华文宋体" w:eastAsia="华文宋体"/>
          <w:bCs/>
          <w:sz w:val="24"/>
          <w:szCs w:val="24"/>
        </w:rPr>
        <w:t>投标人需提供所投设备制造商针对本项目的授权文件原件。</w:t>
      </w:r>
    </w:p>
    <w:p>
      <w:pPr>
        <w:pStyle w:val="8"/>
        <w:numPr>
          <w:numId w:val="0"/>
        </w:numPr>
        <w:spacing w:line="360" w:lineRule="auto"/>
        <w:ind w:left="480" w:leftChars="0"/>
        <w:rPr>
          <w:rFonts w:hint="eastAsia" w:ascii="华文宋体" w:hAnsi="华文宋体" w:eastAsia="华文宋体"/>
          <w:bCs/>
          <w:sz w:val="24"/>
          <w:szCs w:val="24"/>
        </w:rPr>
      </w:pPr>
      <w:r>
        <w:rPr>
          <w:rFonts w:hint="eastAsia" w:ascii="华文宋体" w:hAnsi="华文宋体" w:eastAsia="华文宋体"/>
          <w:bCs/>
          <w:sz w:val="24"/>
          <w:szCs w:val="24"/>
          <w:lang w:val="en-US" w:eastAsia="zh-CN"/>
        </w:rPr>
        <w:t>3.</w:t>
      </w:r>
      <w:r>
        <w:rPr>
          <w:rFonts w:hint="eastAsia" w:ascii="华文宋体" w:hAnsi="华文宋体" w:eastAsia="华文宋体"/>
          <w:bCs/>
          <w:sz w:val="24"/>
          <w:szCs w:val="24"/>
        </w:rPr>
        <w:t>采购样板</w:t>
      </w:r>
      <w:r>
        <w:rPr>
          <w:rFonts w:hint="eastAsia" w:ascii="华文宋体" w:hAnsi="华文宋体" w:eastAsia="华文宋体"/>
          <w:bCs/>
          <w:sz w:val="24"/>
          <w:szCs w:val="24"/>
          <w:lang w:val="en-US" w:eastAsia="zh-CN"/>
        </w:rPr>
        <w:t>需求</w:t>
      </w:r>
      <w:r>
        <w:rPr>
          <w:rFonts w:hint="eastAsia" w:ascii="华文宋体" w:hAnsi="华文宋体" w:eastAsia="华文宋体"/>
          <w:bCs/>
          <w:sz w:val="24"/>
          <w:szCs w:val="24"/>
        </w:rPr>
        <w:t>：投标方于投标同时，需根据“设备技术参数”的要求提供以下样板运送到评标现场，作为评标评分依据。供应商提供样板、样材，根据甲方确认的样板进行生产。成品样板清单如下：</w:t>
      </w:r>
    </w:p>
    <w:tbl>
      <w:tblPr>
        <w:tblStyle w:val="4"/>
        <w:tblW w:w="0" w:type="auto"/>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275" w:type="dxa"/>
            <w:noWrap w:val="0"/>
            <w:vAlign w:val="center"/>
          </w:tcPr>
          <w:p>
            <w:pPr>
              <w:jc w:val="center"/>
              <w:rPr>
                <w:rFonts w:ascii="宋体" w:hAnsi="宋体" w:cs="宋体"/>
                <w:sz w:val="24"/>
              </w:rPr>
            </w:pPr>
            <w:r>
              <w:rPr>
                <w:rFonts w:hint="eastAsia" w:ascii="宋体" w:hAnsi="宋体" w:cs="宋体"/>
                <w:sz w:val="24"/>
              </w:rPr>
              <w:t>序号</w:t>
            </w:r>
          </w:p>
        </w:tc>
        <w:tc>
          <w:tcPr>
            <w:tcW w:w="3402" w:type="dxa"/>
            <w:noWrap w:val="0"/>
            <w:vAlign w:val="center"/>
          </w:tcPr>
          <w:p>
            <w:pPr>
              <w:jc w:val="center"/>
              <w:rPr>
                <w:rFonts w:ascii="宋体" w:hAnsi="宋体" w:cs="宋体"/>
                <w:sz w:val="24"/>
              </w:rPr>
            </w:pPr>
            <w:r>
              <w:rPr>
                <w:rFonts w:hint="eastAsia" w:ascii="宋体" w:hAnsi="宋体" w:cs="宋体"/>
                <w:sz w:val="24"/>
              </w:rPr>
              <w:t>设备名称</w:t>
            </w:r>
          </w:p>
        </w:tc>
        <w:tc>
          <w:tcPr>
            <w:tcW w:w="1701" w:type="dxa"/>
            <w:noWrap w:val="0"/>
            <w:vAlign w:val="center"/>
          </w:tcPr>
          <w:p>
            <w:pPr>
              <w:jc w:val="center"/>
              <w:rPr>
                <w:rFonts w:ascii="宋体" w:hAnsi="宋体" w:cs="宋体"/>
                <w:sz w:val="24"/>
              </w:rPr>
            </w:pPr>
            <w:r>
              <w:rPr>
                <w:rFonts w:hint="eastAsia" w:ascii="宋体" w:hAnsi="宋体" w:cs="宋体"/>
                <w:sz w:val="24"/>
              </w:rPr>
              <w:t>送样数量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275"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18"/>
                <w:szCs w:val="18"/>
              </w:rPr>
              <w:t>1</w:t>
            </w:r>
          </w:p>
        </w:tc>
        <w:tc>
          <w:tcPr>
            <w:tcW w:w="3402" w:type="dxa"/>
            <w:shd w:val="clear" w:color="auto" w:fill="FFFFFF"/>
            <w:noWrap w:val="0"/>
            <w:vAlign w:val="center"/>
          </w:tcPr>
          <w:p>
            <w:pPr>
              <w:jc w:val="center"/>
              <w:rPr>
                <w:rFonts w:ascii="宋体" w:hAnsi="宋体" w:cs="宋体"/>
                <w:sz w:val="24"/>
              </w:rPr>
            </w:pPr>
            <w:r>
              <w:rPr>
                <w:rFonts w:hint="eastAsia" w:ascii="宋体" w:hAnsi="宋体" w:cs="宋体"/>
                <w:sz w:val="24"/>
              </w:rPr>
              <w:t>边缘计算终端</w:t>
            </w:r>
            <w:bookmarkStart w:id="0" w:name="_GoBack"/>
            <w:bookmarkEnd w:id="0"/>
          </w:p>
        </w:tc>
        <w:tc>
          <w:tcPr>
            <w:tcW w:w="1701"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1套</w:t>
            </w:r>
          </w:p>
        </w:tc>
      </w:tr>
    </w:tbl>
    <w:p>
      <w:pPr>
        <w:pStyle w:val="8"/>
        <w:numPr>
          <w:numId w:val="0"/>
        </w:numPr>
        <w:spacing w:line="360" w:lineRule="auto"/>
        <w:ind w:left="480" w:leftChars="0"/>
        <w:rPr>
          <w:rFonts w:hint="eastAsia" w:ascii="华文宋体" w:hAnsi="华文宋体" w:eastAsia="华文宋体"/>
          <w:bCs/>
          <w:sz w:val="24"/>
          <w:szCs w:val="24"/>
        </w:rPr>
      </w:pP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w:t>
      </w:r>
      <w:r>
        <w:rPr>
          <w:rFonts w:hint="eastAsia" w:ascii="华文宋体" w:hAnsi="华文宋体" w:eastAsia="华文宋体"/>
          <w:sz w:val="24"/>
          <w:szCs w:val="24"/>
          <w:lang w:val="en-US" w:eastAsia="zh-CN"/>
        </w:rPr>
        <w:t>4</w:t>
      </w:r>
      <w:r>
        <w:rPr>
          <w:rFonts w:hint="eastAsia" w:ascii="华文宋体" w:hAnsi="华文宋体" w:eastAsia="华文宋体"/>
          <w:sz w:val="24"/>
          <w:szCs w:val="24"/>
        </w:rPr>
        <w:t>.包装要求：内用防磨泡沫，外用硬纸，按类型堆放。</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w:t>
      </w:r>
      <w:r>
        <w:rPr>
          <w:rFonts w:hint="eastAsia" w:ascii="华文宋体" w:hAnsi="华文宋体" w:eastAsia="华文宋体"/>
          <w:sz w:val="24"/>
          <w:szCs w:val="24"/>
          <w:lang w:val="en-US" w:eastAsia="zh-CN"/>
        </w:rPr>
        <w:t>5</w:t>
      </w:r>
      <w:r>
        <w:rPr>
          <w:rFonts w:hint="eastAsia" w:ascii="华文宋体" w:hAnsi="华文宋体" w:eastAsia="华文宋体"/>
          <w:sz w:val="24"/>
          <w:szCs w:val="24"/>
        </w:rPr>
        <w:t>.运输要求：采用全国性专业货运公司或铁路运输部门承运，能确保产品安全，准时到达目的地。</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w:t>
      </w:r>
      <w:r>
        <w:rPr>
          <w:rFonts w:hint="eastAsia" w:ascii="华文宋体" w:hAnsi="华文宋体" w:eastAsia="华文宋体"/>
          <w:sz w:val="24"/>
          <w:szCs w:val="24"/>
          <w:lang w:val="en-US" w:eastAsia="zh-CN"/>
        </w:rPr>
        <w:t>6</w:t>
      </w:r>
      <w:r>
        <w:rPr>
          <w:rFonts w:hint="eastAsia" w:ascii="华文宋体" w:hAnsi="华文宋体" w:eastAsia="华文宋体"/>
          <w:sz w:val="24"/>
          <w:szCs w:val="24"/>
        </w:rPr>
        <w:t>.安装要求：安装人员必须是经过专业培训的专业人员，安装技术及操作过程符合行业安全规范，安装过程将严格按照规范的程序实施，确保安装货物和周边设施的安全。</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w:t>
      </w:r>
      <w:r>
        <w:rPr>
          <w:rFonts w:hint="eastAsia" w:ascii="华文宋体" w:hAnsi="华文宋体" w:eastAsia="华文宋体"/>
          <w:sz w:val="24"/>
          <w:szCs w:val="24"/>
          <w:lang w:val="en-US" w:eastAsia="zh-CN"/>
        </w:rPr>
        <w:t>7</w:t>
      </w:r>
      <w:r>
        <w:rPr>
          <w:rFonts w:hint="eastAsia" w:ascii="华文宋体" w:hAnsi="华文宋体" w:eastAsia="华文宋体"/>
          <w:sz w:val="24"/>
          <w:szCs w:val="24"/>
        </w:rPr>
        <w:t>合同签字生效后，以甲方发出书面通知之日起，30个日历天内将货物运达目的地并安装完毕。</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w:t>
      </w:r>
      <w:r>
        <w:rPr>
          <w:rFonts w:hint="eastAsia" w:ascii="华文宋体" w:hAnsi="华文宋体" w:eastAsia="华文宋体"/>
          <w:sz w:val="24"/>
          <w:szCs w:val="24"/>
          <w:lang w:val="en-US" w:eastAsia="zh-CN"/>
        </w:rPr>
        <w:t>8.</w:t>
      </w:r>
      <w:r>
        <w:rPr>
          <w:rFonts w:hint="eastAsia" w:ascii="华文宋体" w:hAnsi="华文宋体" w:eastAsia="华文宋体"/>
          <w:sz w:val="24"/>
          <w:szCs w:val="24"/>
        </w:rPr>
        <w:t>付款方式：</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（1）工程安装完工后，甲乙双方办理正式竣工验收及结算手续后，甲方于10个工作日内支付结算款的95%。</w:t>
      </w:r>
    </w:p>
    <w:p>
      <w:pPr>
        <w:pStyle w:val="8"/>
        <w:spacing w:line="360" w:lineRule="auto"/>
        <w:ind w:firstLine="0" w:firstLineChars="0"/>
        <w:rPr>
          <w:rFonts w:ascii="华文宋体" w:hAnsi="华文宋体" w:eastAsia="华文宋体"/>
          <w:sz w:val="24"/>
          <w:szCs w:val="24"/>
        </w:rPr>
      </w:pPr>
      <w:r>
        <w:rPr>
          <w:rFonts w:hint="eastAsia" w:ascii="华文宋体" w:hAnsi="华文宋体" w:eastAsia="华文宋体"/>
          <w:sz w:val="24"/>
          <w:szCs w:val="24"/>
        </w:rPr>
        <w:t xml:space="preserve">    （2）余款5%作为质量保证金，甲方在1年产品质量保证期满后10个工作日内无息向乙方结清余下货款。</w:t>
      </w:r>
    </w:p>
    <w:p>
      <w:pPr>
        <w:pStyle w:val="8"/>
        <w:spacing w:line="360" w:lineRule="auto"/>
        <w:ind w:firstLine="0" w:firstLineChars="0"/>
        <w:rPr>
          <w:b/>
          <w:sz w:val="24"/>
          <w:szCs w:val="24"/>
        </w:rPr>
      </w:pPr>
      <w:r>
        <w:rPr>
          <w:rFonts w:hint="eastAsia"/>
          <w:b/>
          <w:sz w:val="24"/>
          <w:szCs w:val="24"/>
        </w:rPr>
        <w:t xml:space="preserve">    三、技术参</w:t>
      </w:r>
      <w:r>
        <w:rPr>
          <w:b/>
          <w:sz w:val="24"/>
          <w:szCs w:val="24"/>
        </w:rPr>
        <w:t>数及要求</w:t>
      </w:r>
    </w:p>
    <w:p>
      <w:pPr>
        <w:pStyle w:val="8"/>
        <w:spacing w:line="360" w:lineRule="auto"/>
        <w:ind w:firstLine="0" w:firstLineChars="0"/>
        <w:rPr>
          <w:sz w:val="24"/>
          <w:szCs w:val="24"/>
        </w:rPr>
      </w:pPr>
      <w:r>
        <w:rPr>
          <w:rFonts w:hint="eastAsia"/>
          <w:sz w:val="24"/>
          <w:szCs w:val="24"/>
        </w:rPr>
        <w:t xml:space="preserve">    （一）技术参数要求：</w:t>
      </w:r>
    </w:p>
    <w:tbl>
      <w:tblPr>
        <w:tblStyle w:val="4"/>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791"/>
        <w:gridCol w:w="5361"/>
        <w:gridCol w:w="567"/>
        <w:gridCol w:w="5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98" w:type="dxa"/>
            <w:shd w:val="clear" w:color="auto" w:fill="auto"/>
            <w:noWrap w:val="0"/>
            <w:vAlign w:val="center"/>
          </w:tcPr>
          <w:p>
            <w:pPr>
              <w:widowControl/>
              <w:jc w:val="center"/>
              <w:rPr>
                <w:rFonts w:ascii="华文宋体" w:hAnsi="华文宋体" w:eastAsia="华文宋体" w:cs="宋体"/>
                <w:b/>
                <w:bCs/>
                <w:color w:val="000000"/>
                <w:kern w:val="0"/>
                <w:sz w:val="22"/>
                <w:szCs w:val="22"/>
              </w:rPr>
            </w:pPr>
            <w:r>
              <w:rPr>
                <w:rFonts w:hint="eastAsia" w:ascii="华文宋体" w:hAnsi="华文宋体" w:eastAsia="华文宋体" w:cs="宋体"/>
                <w:b/>
                <w:bCs/>
                <w:color w:val="000000"/>
                <w:kern w:val="0"/>
                <w:sz w:val="22"/>
                <w:szCs w:val="22"/>
              </w:rPr>
              <w:t>序号</w:t>
            </w:r>
          </w:p>
        </w:tc>
        <w:tc>
          <w:tcPr>
            <w:tcW w:w="791" w:type="dxa"/>
            <w:shd w:val="clear" w:color="auto" w:fill="auto"/>
            <w:noWrap w:val="0"/>
            <w:vAlign w:val="center"/>
          </w:tcPr>
          <w:p>
            <w:pPr>
              <w:widowControl/>
              <w:jc w:val="center"/>
              <w:rPr>
                <w:rFonts w:ascii="华文宋体" w:hAnsi="华文宋体" w:eastAsia="华文宋体" w:cs="宋体"/>
                <w:b/>
                <w:bCs/>
                <w:color w:val="000000"/>
                <w:kern w:val="0"/>
                <w:sz w:val="22"/>
                <w:szCs w:val="22"/>
              </w:rPr>
            </w:pPr>
            <w:r>
              <w:rPr>
                <w:rFonts w:hint="eastAsia" w:ascii="华文宋体" w:hAnsi="华文宋体" w:eastAsia="华文宋体" w:cs="宋体"/>
                <w:b/>
                <w:bCs/>
                <w:color w:val="000000"/>
                <w:kern w:val="0"/>
                <w:sz w:val="22"/>
                <w:szCs w:val="22"/>
              </w:rPr>
              <w:t>名称</w:t>
            </w:r>
          </w:p>
        </w:tc>
        <w:tc>
          <w:tcPr>
            <w:tcW w:w="5361" w:type="dxa"/>
            <w:shd w:val="clear" w:color="auto" w:fill="auto"/>
            <w:noWrap w:val="0"/>
            <w:vAlign w:val="center"/>
          </w:tcPr>
          <w:p>
            <w:pPr>
              <w:widowControl/>
              <w:jc w:val="center"/>
              <w:rPr>
                <w:rFonts w:ascii="华文宋体" w:hAnsi="华文宋体" w:eastAsia="华文宋体" w:cs="宋体"/>
                <w:b/>
                <w:bCs/>
                <w:color w:val="000000"/>
                <w:kern w:val="0"/>
                <w:sz w:val="22"/>
                <w:szCs w:val="22"/>
              </w:rPr>
            </w:pPr>
            <w:r>
              <w:rPr>
                <w:rFonts w:hint="eastAsia" w:ascii="华文宋体" w:hAnsi="华文宋体" w:eastAsia="华文宋体" w:cs="宋体"/>
                <w:b/>
                <w:bCs/>
                <w:color w:val="000000"/>
                <w:kern w:val="0"/>
                <w:sz w:val="22"/>
                <w:szCs w:val="22"/>
              </w:rPr>
              <w:t>设备技术参数/性能要求</w:t>
            </w:r>
          </w:p>
        </w:tc>
        <w:tc>
          <w:tcPr>
            <w:tcW w:w="567" w:type="dxa"/>
            <w:shd w:val="clear" w:color="auto" w:fill="auto"/>
            <w:noWrap w:val="0"/>
            <w:vAlign w:val="center"/>
          </w:tcPr>
          <w:p>
            <w:pPr>
              <w:widowControl/>
              <w:jc w:val="center"/>
              <w:rPr>
                <w:rFonts w:ascii="华文宋体" w:hAnsi="华文宋体" w:eastAsia="华文宋体" w:cs="宋体"/>
                <w:b/>
                <w:bCs/>
                <w:color w:val="000000"/>
                <w:kern w:val="0"/>
                <w:sz w:val="22"/>
                <w:szCs w:val="22"/>
              </w:rPr>
            </w:pPr>
            <w:r>
              <w:rPr>
                <w:rFonts w:hint="eastAsia" w:ascii="华文宋体" w:hAnsi="华文宋体" w:eastAsia="华文宋体" w:cs="宋体"/>
                <w:b/>
                <w:bCs/>
                <w:color w:val="000000"/>
                <w:kern w:val="0"/>
                <w:sz w:val="22"/>
                <w:szCs w:val="22"/>
              </w:rPr>
              <w:t>单位</w:t>
            </w:r>
          </w:p>
        </w:tc>
        <w:tc>
          <w:tcPr>
            <w:tcW w:w="567" w:type="dxa"/>
            <w:shd w:val="clear" w:color="auto" w:fill="auto"/>
            <w:noWrap w:val="0"/>
            <w:vAlign w:val="center"/>
          </w:tcPr>
          <w:p>
            <w:pPr>
              <w:widowControl/>
              <w:jc w:val="center"/>
              <w:rPr>
                <w:rFonts w:ascii="华文宋体" w:hAnsi="华文宋体" w:eastAsia="华文宋体" w:cs="宋体"/>
                <w:b/>
                <w:bCs/>
                <w:color w:val="000000"/>
                <w:kern w:val="0"/>
                <w:sz w:val="22"/>
                <w:szCs w:val="22"/>
              </w:rPr>
            </w:pPr>
            <w:r>
              <w:rPr>
                <w:rFonts w:hint="eastAsia" w:ascii="华文宋体" w:hAnsi="华文宋体" w:eastAsia="华文宋体" w:cs="宋体"/>
                <w:b/>
                <w:bCs/>
                <w:color w:val="000000"/>
                <w:kern w:val="0"/>
                <w:sz w:val="22"/>
                <w:szCs w:val="22"/>
              </w:rPr>
              <w:t>数量</w:t>
            </w:r>
          </w:p>
        </w:tc>
        <w:tc>
          <w:tcPr>
            <w:tcW w:w="850" w:type="dxa"/>
            <w:shd w:val="clear" w:color="auto" w:fill="auto"/>
            <w:noWrap w:val="0"/>
            <w:vAlign w:val="center"/>
          </w:tcPr>
          <w:p>
            <w:pPr>
              <w:widowControl/>
              <w:jc w:val="center"/>
              <w:rPr>
                <w:rFonts w:ascii="华文宋体" w:hAnsi="华文宋体" w:eastAsia="华文宋体" w:cs="宋体"/>
                <w:b/>
                <w:bCs/>
                <w:color w:val="000000"/>
                <w:kern w:val="0"/>
                <w:sz w:val="22"/>
                <w:szCs w:val="22"/>
              </w:rPr>
            </w:pPr>
            <w:r>
              <w:rPr>
                <w:rFonts w:hint="eastAsia" w:ascii="华文宋体" w:hAnsi="华文宋体" w:eastAsia="华文宋体" w:cs="宋体"/>
                <w:b/>
                <w:bCs/>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sz w:val="22"/>
                <w:szCs w:val="22"/>
              </w:rPr>
              <w:t>边缘计算终端</w:t>
            </w:r>
          </w:p>
        </w:tc>
        <w:tc>
          <w:tcPr>
            <w:tcW w:w="5361" w:type="dxa"/>
            <w:shd w:val="clear" w:color="auto" w:fill="auto"/>
            <w:noWrap w:val="0"/>
            <w:vAlign w:val="top"/>
          </w:tcPr>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算力支持</w:t>
            </w:r>
            <w:r>
              <w:rPr>
                <w:rFonts w:ascii="华文宋体" w:hAnsi="华文宋体" w:eastAsia="华文宋体" w:cs="宋体"/>
                <w:color w:val="000000"/>
                <w:kern w:val="0"/>
                <w:sz w:val="22"/>
                <w:szCs w:val="22"/>
              </w:rPr>
              <w:t>3</w:t>
            </w:r>
            <w:r>
              <w:rPr>
                <w:rFonts w:hint="eastAsia" w:ascii="华文宋体" w:hAnsi="华文宋体" w:eastAsia="华文宋体" w:cs="宋体"/>
                <w:color w:val="000000"/>
                <w:kern w:val="0"/>
                <w:sz w:val="22"/>
                <w:szCs w:val="22"/>
              </w:rPr>
              <w:t>.2T FLOPS，最高可支持到4</w:t>
            </w:r>
            <w:r>
              <w:rPr>
                <w:rFonts w:ascii="华文宋体" w:hAnsi="华文宋体" w:eastAsia="华文宋体" w:cs="宋体"/>
                <w:color w:val="000000"/>
                <w:kern w:val="0"/>
                <w:sz w:val="22"/>
                <w:szCs w:val="22"/>
              </w:rPr>
              <w:t>.2</w:t>
            </w:r>
            <w:r>
              <w:rPr>
                <w:rFonts w:hint="eastAsia" w:ascii="华文宋体" w:hAnsi="华文宋体" w:eastAsia="华文宋体" w:cs="宋体"/>
                <w:color w:val="000000"/>
                <w:kern w:val="0"/>
                <w:sz w:val="22"/>
                <w:szCs w:val="22"/>
              </w:rPr>
              <w:t>TFLOPS，第八代智能英特尔®酷睿™i3-8109U处理器，3.0GHz主频-3.6GHz睿频加速，4MB高速缓存，8GB LPDR4， DDR4-2400 SODIMMs，1.2V，最高支持32G，SSD 240/256G，支持HDMI2.0a及通过USB-C™转接DisplayPort 1.2，内置Iris® Plus Graphics 655显卡, 支持4K三屏显示输出，内置英特尔®I219-V自适应10/100/1000Mbps以太网卡，内置英特尔®AC9560，IEEE Wi-Fi 2x2无线网卡 + 蓝牙v5.0，内置天线，2x前置USB 3.1 Type-A（黄色接口可关机为手机充电）,2x后置USB 3.1 Type-；</w:t>
            </w:r>
            <w:r>
              <w:rPr>
                <w:rFonts w:ascii="华文宋体" w:hAnsi="华文宋体" w:eastAsia="华文宋体" w:cs="宋体"/>
                <w:color w:val="000000"/>
                <w:kern w:val="0"/>
                <w:sz w:val="22"/>
                <w:szCs w:val="22"/>
              </w:rPr>
              <w:t xml:space="preserve"> </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内置Intel</w:t>
            </w:r>
            <w:r>
              <w:rPr>
                <w:rFonts w:ascii="华文宋体" w:hAnsi="华文宋体" w:eastAsia="华文宋体" w:cs="宋体"/>
                <w:color w:val="000000"/>
                <w:kern w:val="0"/>
                <w:sz w:val="22"/>
                <w:szCs w:val="22"/>
              </w:rPr>
              <w:t xml:space="preserve"> </w:t>
            </w:r>
            <w:r>
              <w:rPr>
                <w:rFonts w:hint="eastAsia" w:ascii="华文宋体" w:hAnsi="华文宋体" w:eastAsia="华文宋体" w:cs="宋体"/>
                <w:color w:val="000000"/>
                <w:kern w:val="0"/>
                <w:sz w:val="22"/>
                <w:szCs w:val="22"/>
              </w:rPr>
              <w:t>Movidius</w:t>
            </w:r>
            <w:r>
              <w:rPr>
                <w:rFonts w:ascii="华文宋体" w:hAnsi="华文宋体" w:eastAsia="华文宋体" w:cs="宋体"/>
                <w:color w:val="000000"/>
                <w:kern w:val="0"/>
                <w:sz w:val="22"/>
                <w:szCs w:val="22"/>
              </w:rPr>
              <w:t xml:space="preserve"> </w:t>
            </w:r>
            <w:r>
              <w:rPr>
                <w:rFonts w:hint="eastAsia" w:ascii="华文宋体" w:hAnsi="华文宋体" w:eastAsia="华文宋体" w:cs="宋体"/>
                <w:color w:val="000000"/>
                <w:kern w:val="0"/>
                <w:sz w:val="22"/>
                <w:szCs w:val="22"/>
              </w:rPr>
              <w:t>单颗MA</w:t>
            </w:r>
            <w:r>
              <w:rPr>
                <w:rFonts w:ascii="华文宋体" w:hAnsi="华文宋体" w:eastAsia="华文宋体" w:cs="宋体"/>
                <w:color w:val="000000"/>
                <w:kern w:val="0"/>
                <w:sz w:val="22"/>
                <w:szCs w:val="22"/>
              </w:rPr>
              <w:t>2485</w:t>
            </w:r>
            <w:r>
              <w:rPr>
                <w:rFonts w:hint="eastAsia" w:ascii="华文宋体" w:hAnsi="华文宋体" w:eastAsia="华文宋体" w:cs="宋体"/>
                <w:color w:val="000000"/>
                <w:kern w:val="0"/>
                <w:sz w:val="22"/>
                <w:szCs w:val="22"/>
              </w:rPr>
              <w:t>视觉处理器（VPU），可升级为双颗MA</w:t>
            </w:r>
            <w:r>
              <w:rPr>
                <w:rFonts w:ascii="华文宋体" w:hAnsi="华文宋体" w:eastAsia="华文宋体" w:cs="宋体"/>
                <w:color w:val="000000"/>
                <w:kern w:val="0"/>
                <w:sz w:val="22"/>
                <w:szCs w:val="22"/>
              </w:rPr>
              <w:t>2485</w:t>
            </w:r>
            <w:r>
              <w:rPr>
                <w:rFonts w:hint="eastAsia" w:ascii="华文宋体" w:hAnsi="华文宋体" w:eastAsia="华文宋体" w:cs="宋体"/>
                <w:color w:val="000000"/>
                <w:kern w:val="0"/>
                <w:sz w:val="22"/>
                <w:szCs w:val="22"/>
              </w:rPr>
              <w:t>视觉处理器；</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两个内置USB2.0扩展接头；12-19V宽压电源接口，提供19V直流90瓦电源适配器,</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长x宽x高：117x112x51毫米;内置VESA背挂附件；</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预装Intel® OpenVINO®人工智能开发工具包；</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内置100+以上Caffe、MXNet和TensorFlow预训练模型；支持ONNX Model Zoo的所有公开模型；</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通过Kaldi，Model Optimizer可以支持非视觉神经网络模型；预装经Intel优化后的Python发行版；</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lang w:bidi="ar"/>
              </w:rPr>
              <w:t>▲</w:t>
            </w:r>
            <w:r>
              <w:rPr>
                <w:rFonts w:hint="eastAsia" w:ascii="华文宋体" w:hAnsi="华文宋体" w:eastAsia="华文宋体" w:cs="宋体"/>
                <w:color w:val="000000"/>
                <w:kern w:val="0"/>
                <w:sz w:val="22"/>
                <w:szCs w:val="22"/>
              </w:rPr>
              <w:t>1含国内出版社正式出版的专用教材一本；</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lang w:bidi="ar"/>
              </w:rPr>
              <w:t>▲</w:t>
            </w:r>
            <w:r>
              <w:rPr>
                <w:rFonts w:hint="eastAsia" w:ascii="华文宋体" w:hAnsi="华文宋体" w:eastAsia="华文宋体" w:cs="宋体"/>
                <w:color w:val="000000"/>
                <w:kern w:val="0"/>
                <w:sz w:val="22"/>
                <w:szCs w:val="22"/>
              </w:rPr>
              <w:t>2提供不少于4个拥有完整授权的人工智能边缘计算实训案例，含数据集、算法及完整的程序代码；</w:t>
            </w:r>
            <w:r>
              <w:rPr>
                <w:rFonts w:ascii="华文宋体" w:hAnsi="华文宋体" w:eastAsia="华文宋体" w:cs="宋体"/>
                <w:color w:val="000000"/>
                <w:kern w:val="0"/>
                <w:sz w:val="22"/>
                <w:szCs w:val="22"/>
              </w:rPr>
              <w:t xml:space="preserve"> </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套</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41</w:t>
            </w:r>
          </w:p>
        </w:tc>
        <w:tc>
          <w:tcPr>
            <w:tcW w:w="850" w:type="dxa"/>
            <w:shd w:val="clear" w:color="auto" w:fill="auto"/>
            <w:noWrap w:val="0"/>
            <w:vAlign w:val="center"/>
          </w:tcPr>
          <w:p>
            <w:pPr>
              <w:widowControl/>
              <w:jc w:val="center"/>
              <w:rPr>
                <w:rFonts w:ascii="华文宋体" w:hAnsi="华文宋体" w:eastAsia="华文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2</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sz w:val="22"/>
                <w:szCs w:val="22"/>
              </w:rPr>
              <w:t>人工智能算力单元</w:t>
            </w:r>
          </w:p>
        </w:tc>
        <w:tc>
          <w:tcPr>
            <w:tcW w:w="5361" w:type="dxa"/>
            <w:shd w:val="clear" w:color="auto" w:fill="auto"/>
            <w:noWrap w:val="0"/>
            <w:vAlign w:val="top"/>
          </w:tcPr>
          <w:p>
            <w:pPr>
              <w:widowControl/>
              <w:rPr>
                <w:rFonts w:ascii="华文宋体" w:hAnsi="华文宋体" w:eastAsia="华文宋体" w:cs="宋体"/>
                <w:sz w:val="22"/>
                <w:szCs w:val="22"/>
                <w:shd w:val="clear" w:color="auto" w:fill="FFFFFF"/>
              </w:rPr>
            </w:pPr>
            <w:r>
              <w:rPr>
                <w:rFonts w:hint="eastAsia" w:ascii="华文宋体" w:hAnsi="华文宋体" w:eastAsia="华文宋体" w:cs="宋体"/>
                <w:sz w:val="22"/>
                <w:szCs w:val="22"/>
                <w:shd w:val="clear" w:color="auto" w:fill="FFFFFF"/>
              </w:rPr>
              <w:t>一、功能描述</w:t>
            </w:r>
          </w:p>
          <w:p>
            <w:pPr>
              <w:widowControl/>
              <w:rPr>
                <w:rFonts w:ascii="华文宋体" w:hAnsi="华文宋体" w:eastAsia="华文宋体" w:cs="宋体"/>
                <w:sz w:val="22"/>
                <w:szCs w:val="22"/>
                <w:shd w:val="clear" w:color="auto" w:fill="FFFFFF"/>
              </w:rPr>
            </w:pPr>
            <w:r>
              <w:rPr>
                <w:rFonts w:hint="eastAsia" w:ascii="华文宋体" w:hAnsi="华文宋体" w:eastAsia="华文宋体" w:cs="宋体"/>
                <w:color w:val="000000"/>
                <w:kern w:val="0"/>
                <w:sz w:val="22"/>
                <w:szCs w:val="22"/>
                <w:lang w:bidi="ar"/>
              </w:rPr>
              <w:t>▲</w:t>
            </w:r>
            <w:r>
              <w:rPr>
                <w:rFonts w:hint="eastAsia" w:ascii="华文宋体" w:hAnsi="华文宋体" w:eastAsia="华文宋体" w:cs="宋体"/>
                <w:sz w:val="22"/>
                <w:szCs w:val="22"/>
                <w:shd w:val="clear" w:color="auto" w:fill="FFFFFF"/>
              </w:rPr>
              <w:t>1）基于AI云平台搭建的基础支撑平台，</w:t>
            </w:r>
            <w:r>
              <w:rPr>
                <w:rFonts w:hint="eastAsia" w:ascii="华文宋体" w:hAnsi="华文宋体" w:eastAsia="华文宋体" w:cs="宋体"/>
                <w:color w:val="000000"/>
                <w:kern w:val="0"/>
                <w:sz w:val="22"/>
                <w:szCs w:val="22"/>
                <w:lang w:bidi="ar"/>
              </w:rPr>
              <w:t>提供完整和灵活的产品组合与计算平台，包括CPU、GPU、VPU等，满足从云到边缘到设备的不同工作负载需求，AI实验/课程管理、AI实验环境调用（容器、虚拟机）、AI实验工具及数据（框架、算法、模型、数据集）、基础资源管理（软硬件、网络、虚拟化资源）、实验及科研成果验证及转化（AI模型→智能设备）等</w:t>
            </w:r>
          </w:p>
          <w:p>
            <w:pPr>
              <w:widowControl/>
              <w:rPr>
                <w:rFonts w:ascii="华文宋体" w:hAnsi="华文宋体" w:eastAsia="华文宋体" w:cs="宋体"/>
                <w:sz w:val="22"/>
                <w:szCs w:val="22"/>
                <w:shd w:val="clear" w:color="auto" w:fill="FFFFFF"/>
              </w:rPr>
            </w:pPr>
            <w:r>
              <w:rPr>
                <w:rFonts w:hint="eastAsia" w:ascii="华文宋体" w:hAnsi="华文宋体" w:eastAsia="华文宋体" w:cs="宋体"/>
                <w:sz w:val="22"/>
                <w:szCs w:val="22"/>
                <w:shd w:val="clear" w:color="auto" w:fill="FFFFFF"/>
              </w:rPr>
              <w:t>2）提供底层框架和GPU、VPU、FPGA资源，构建一套完善的教学实验环境，包括实验的课程管理、实验环境管理等，提供开发环境、数据集和算法，结合配合的教材和课程能够完成从理论知识学习到上机实验操作整套流程。平台支撑所有人工智能专业的教学与实践，实现在线资源的统一管理。</w:t>
            </w:r>
          </w:p>
          <w:p>
            <w:pPr>
              <w:widowControl/>
              <w:rPr>
                <w:rFonts w:ascii="华文宋体" w:hAnsi="华文宋体" w:eastAsia="华文宋体" w:cs="宋体"/>
                <w:sz w:val="22"/>
                <w:szCs w:val="22"/>
                <w:shd w:val="clear" w:color="auto" w:fill="FFFFFF"/>
              </w:rPr>
            </w:pPr>
            <w:r>
              <w:rPr>
                <w:rFonts w:hint="eastAsia" w:ascii="华文宋体" w:hAnsi="华文宋体" w:eastAsia="华文宋体" w:cs="宋体"/>
                <w:sz w:val="22"/>
                <w:szCs w:val="22"/>
                <w:shd w:val="clear" w:color="auto" w:fill="FFFFFF"/>
              </w:rPr>
              <w:t>3）每台设备均可以支撑一定的教学或科研环境使用，当需求增加导致单套设备的资源无法满足需求的时候，可以进行整机柜的横向扩展，从而成倍地扩充资源实现积木式堆叠。</w:t>
            </w:r>
          </w:p>
          <w:p>
            <w:pPr>
              <w:widowControl/>
              <w:rPr>
                <w:rFonts w:ascii="华文宋体" w:hAnsi="华文宋体" w:eastAsia="华文宋体" w:cs="宋体"/>
                <w:sz w:val="22"/>
                <w:szCs w:val="22"/>
                <w:shd w:val="clear" w:color="auto" w:fill="FFFFFF"/>
              </w:rPr>
            </w:pPr>
            <w:r>
              <w:rPr>
                <w:rFonts w:hint="eastAsia" w:ascii="华文宋体" w:hAnsi="华文宋体" w:eastAsia="华文宋体" w:cs="宋体"/>
                <w:sz w:val="22"/>
                <w:szCs w:val="22"/>
                <w:shd w:val="clear" w:color="auto" w:fill="FFFFFF"/>
              </w:rPr>
              <w:t>4）整体算力要求满足不少于40位学生进行深度学习以外的并发实验。支持40用户并发机器学习实训，每用户资源分配不少于4颗CPU、16GB内存，100GB存储空间。</w:t>
            </w:r>
          </w:p>
          <w:p>
            <w:pPr>
              <w:widowControl/>
              <w:rPr>
                <w:rFonts w:ascii="华文宋体" w:hAnsi="华文宋体" w:eastAsia="华文宋体" w:cs="宋体"/>
                <w:sz w:val="22"/>
                <w:szCs w:val="22"/>
                <w:shd w:val="clear" w:color="auto" w:fill="FFFFFF"/>
              </w:rPr>
            </w:pPr>
            <w:r>
              <w:rPr>
                <w:rFonts w:hint="eastAsia" w:ascii="华文宋体" w:hAnsi="华文宋体" w:eastAsia="华文宋体" w:cs="宋体"/>
                <w:sz w:val="22"/>
                <w:szCs w:val="22"/>
                <w:shd w:val="clear" w:color="auto" w:fill="FFFFFF"/>
              </w:rPr>
              <w:t>二、配置：</w:t>
            </w:r>
          </w:p>
          <w:p>
            <w:pPr>
              <w:widowControl/>
              <w:jc w:val="left"/>
              <w:rPr>
                <w:rFonts w:ascii="华文宋体" w:hAnsi="华文宋体" w:eastAsia="华文宋体" w:cs="宋体"/>
                <w:sz w:val="22"/>
                <w:szCs w:val="22"/>
                <w:shd w:val="clear" w:color="auto" w:fill="FFFFFF"/>
              </w:rPr>
            </w:pPr>
            <w:r>
              <w:rPr>
                <w:rFonts w:hint="eastAsia" w:ascii="华文宋体" w:hAnsi="华文宋体" w:eastAsia="华文宋体" w:cs="宋体"/>
                <w:color w:val="000000"/>
                <w:kern w:val="0"/>
                <w:sz w:val="22"/>
                <w:szCs w:val="22"/>
                <w:lang w:bidi="ar"/>
              </w:rPr>
              <w:t>▲</w:t>
            </w:r>
            <w:r>
              <w:rPr>
                <w:rFonts w:hint="eastAsia" w:ascii="华文宋体" w:hAnsi="华文宋体" w:eastAsia="华文宋体" w:cs="宋体"/>
                <w:sz w:val="22"/>
                <w:szCs w:val="22"/>
                <w:shd w:val="clear" w:color="auto" w:fill="FFFFFF"/>
              </w:rPr>
              <w:t>1)单个算力单元提供2颗Intel Xeon Gold 6240 Processor，8*32GB内存，2 *SSD/480GB/SATA 6Gb/2.5寸/读取型,2＊2.4TB/SAS/10000PRM/2.5寸/企业级、2个万兆网络接口（光口，并配置光模块）、2000W 2+2钛金冗余电源、可扩展8片全高全长双宽度GPU算力卡; 3*NVIDIA 3090 24GB图像计算卡；单卡配置不少于10496个CUDA核心算力的GPU和GPU散热套件，含风扇和装配支架</w:t>
            </w:r>
          </w:p>
          <w:p>
            <w:pPr>
              <w:widowControl/>
              <w:rPr>
                <w:rFonts w:ascii="华文宋体" w:hAnsi="华文宋体" w:eastAsia="华文宋体" w:cs="宋体"/>
                <w:sz w:val="22"/>
                <w:szCs w:val="22"/>
                <w:shd w:val="clear" w:color="auto" w:fill="FFFFFF"/>
              </w:rPr>
            </w:pPr>
            <w:r>
              <w:rPr>
                <w:rFonts w:hint="eastAsia" w:ascii="华文宋体" w:hAnsi="华文宋体" w:eastAsia="华文宋体" w:cs="宋体"/>
                <w:color w:val="000000"/>
                <w:kern w:val="0"/>
                <w:sz w:val="22"/>
                <w:szCs w:val="22"/>
                <w:lang w:bidi="ar"/>
              </w:rPr>
              <w:t>▲</w:t>
            </w:r>
            <w:r>
              <w:rPr>
                <w:rFonts w:hint="eastAsia" w:ascii="华文宋体" w:hAnsi="华文宋体" w:eastAsia="华文宋体" w:cs="宋体"/>
                <w:sz w:val="22"/>
                <w:szCs w:val="22"/>
                <w:shd w:val="clear" w:color="auto" w:fill="FFFFFF"/>
              </w:rPr>
              <w:t>2)算力单元具备故障定位功能和节能技术：提供可视化故障LED诊断面板 ，实时反馈机器运行状态，当机器发生异常，并可通过状态码查询直接定位故障部件和故障原因，便于快速解决问题；集成硬件式节能芯片EPU绿色能量引擎，通过实时侦测系统负载，自动调节CPU、内存等电子元器件的电压，达成系统所需最合适的处理器性能，减少不必要的电源浪费；</w:t>
            </w:r>
            <w:r>
              <w:rPr>
                <w:rFonts w:hint="eastAsia" w:ascii="华文宋体" w:hAnsi="华文宋体" w:eastAsia="华文宋体" w:cs="宋体"/>
                <w:color w:val="000000"/>
                <w:kern w:val="0"/>
                <w:sz w:val="22"/>
                <w:szCs w:val="22"/>
                <w:u w:val="single"/>
                <w:lang w:bidi="ar"/>
              </w:rPr>
              <w:t>（要求提供设备制造商出具的参数确认函）</w:t>
            </w:r>
            <w:r>
              <w:rPr>
                <w:rFonts w:ascii="华文宋体" w:hAnsi="华文宋体" w:eastAsia="华文宋体" w:cs="宋体"/>
                <w:color w:val="000000"/>
                <w:kern w:val="0"/>
                <w:sz w:val="22"/>
                <w:szCs w:val="22"/>
                <w:u w:val="single"/>
                <w:lang w:bidi="ar"/>
              </w:rPr>
              <w:br w:type="textWrapping"/>
            </w:r>
          </w:p>
          <w:p>
            <w:pPr>
              <w:widowControl/>
              <w:rPr>
                <w:rFonts w:ascii="华文宋体" w:hAnsi="华文宋体" w:eastAsia="华文宋体" w:cs="宋体"/>
                <w:color w:val="000000"/>
                <w:sz w:val="22"/>
                <w:szCs w:val="22"/>
                <w:shd w:val="clear" w:color="auto" w:fill="FFFFFF"/>
              </w:rPr>
            </w:pPr>
            <w:r>
              <w:rPr>
                <w:rFonts w:hint="eastAsia" w:ascii="华文宋体" w:hAnsi="华文宋体" w:eastAsia="华文宋体" w:cs="宋体"/>
                <w:color w:val="000000"/>
                <w:kern w:val="0"/>
                <w:sz w:val="22"/>
                <w:szCs w:val="22"/>
                <w:lang w:bidi="ar"/>
              </w:rPr>
              <w:t>▲</w:t>
            </w:r>
            <w:r>
              <w:rPr>
                <w:rFonts w:hint="eastAsia" w:ascii="华文宋体" w:hAnsi="华文宋体" w:eastAsia="华文宋体" w:cs="宋体"/>
                <w:sz w:val="22"/>
                <w:szCs w:val="22"/>
                <w:shd w:val="clear" w:color="auto" w:fill="FFFFFF"/>
              </w:rPr>
              <w:t>3)算力单元有合理的散热结构：主机CPU和GPU必须采用分区分层散热设计，通过专有风道消除互相影响；GPU通道采用10颗冗余风扇；GPU计算卡采用直通式安装模式，散热口直接露出于机器外部</w:t>
            </w:r>
            <w:r>
              <w:rPr>
                <w:rFonts w:hint="eastAsia" w:ascii="华文宋体" w:hAnsi="华文宋体" w:eastAsia="华文宋体" w:cs="宋体"/>
                <w:color w:val="000000"/>
                <w:kern w:val="0"/>
                <w:sz w:val="22"/>
                <w:szCs w:val="22"/>
                <w:u w:val="single"/>
                <w:lang w:bidi="ar"/>
              </w:rPr>
              <w:t>（要求提供设备制造商出具的参数确认函）</w:t>
            </w:r>
            <w:r>
              <w:rPr>
                <w:rFonts w:hint="eastAsia" w:ascii="华文宋体" w:hAnsi="华文宋体" w:eastAsia="华文宋体" w:cs="宋体"/>
                <w:color w:val="000000"/>
                <w:sz w:val="22"/>
                <w:szCs w:val="22"/>
                <w:shd w:val="clear" w:color="auto" w:fill="FFFFFF"/>
              </w:rPr>
              <w:t>。</w:t>
            </w:r>
          </w:p>
          <w:p>
            <w:pPr>
              <w:widowControl/>
              <w:rPr>
                <w:rFonts w:ascii="华文宋体" w:hAnsi="华文宋体" w:eastAsia="华文宋体" w:cs="宋体"/>
                <w:color w:val="000000"/>
                <w:sz w:val="22"/>
                <w:szCs w:val="22"/>
                <w:shd w:val="clear" w:color="auto" w:fill="FFFFFF"/>
              </w:rPr>
            </w:pPr>
            <w:r>
              <w:rPr>
                <w:rFonts w:hint="eastAsia" w:ascii="华文宋体" w:hAnsi="华文宋体" w:eastAsia="华文宋体" w:cs="宋体"/>
                <w:color w:val="000000"/>
                <w:sz w:val="22"/>
                <w:szCs w:val="22"/>
                <w:shd w:val="clear" w:color="auto" w:fill="FFFFFF"/>
              </w:rPr>
              <w:t>4）算力单元要求自主知识产权，非OEM产品。</w:t>
            </w:r>
          </w:p>
          <w:p>
            <w:pPr>
              <w:widowControl/>
              <w:rPr>
                <w:rFonts w:ascii="华文宋体" w:hAnsi="华文宋体" w:eastAsia="华文宋体" w:cs="宋体"/>
                <w:sz w:val="22"/>
                <w:szCs w:val="22"/>
                <w:shd w:val="clear" w:color="auto" w:fill="FFFFFF"/>
              </w:rPr>
            </w:pPr>
            <w:r>
              <w:rPr>
                <w:rFonts w:hint="eastAsia" w:ascii="华文宋体" w:hAnsi="华文宋体" w:eastAsia="华文宋体" w:cs="宋体"/>
                <w:sz w:val="22"/>
                <w:szCs w:val="22"/>
                <w:shd w:val="clear" w:color="auto" w:fill="FFFFFF"/>
              </w:rPr>
              <w:t>5）三年原厂质保（24*7）</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套</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4</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3</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sz w:val="22"/>
                <w:szCs w:val="22"/>
              </w:rPr>
              <w:t>算力传输单元</w:t>
            </w:r>
          </w:p>
        </w:tc>
        <w:tc>
          <w:tcPr>
            <w:tcW w:w="5361" w:type="dxa"/>
            <w:shd w:val="clear" w:color="auto" w:fill="auto"/>
            <w:noWrap w:val="0"/>
            <w:vAlign w:val="top"/>
          </w:tcPr>
          <w:p>
            <w:pPr>
              <w:widowControl/>
              <w:rPr>
                <w:rFonts w:ascii="华文宋体" w:hAnsi="华文宋体" w:eastAsia="华文宋体" w:cs="宋体"/>
                <w:color w:val="000000"/>
                <w:kern w:val="0"/>
                <w:sz w:val="22"/>
                <w:szCs w:val="22"/>
              </w:rPr>
            </w:pPr>
            <w:r>
              <w:rPr>
                <w:rFonts w:hint="eastAsia" w:ascii="宋体" w:hAnsi="宋体" w:cs="宋体"/>
                <w:color w:val="000000"/>
                <w:kern w:val="0"/>
                <w:sz w:val="22"/>
                <w:szCs w:val="22"/>
                <w:lang w:bidi="ar"/>
              </w:rPr>
              <w:t>▲</w:t>
            </w:r>
            <w:r>
              <w:rPr>
                <w:rFonts w:hint="eastAsia" w:ascii="华文宋体" w:hAnsi="华文宋体" w:eastAsia="华文宋体" w:cs="宋体"/>
                <w:color w:val="000000"/>
                <w:kern w:val="0"/>
                <w:sz w:val="22"/>
                <w:szCs w:val="22"/>
              </w:rPr>
              <w:t>24端口，至少配备10个万兆光模块，背板带宽不低于2.56Tbps/23.04Tbps，包转发率不低于360Mpps。负责人工智能各个算力中心之间的算力传递、控制和调度，是用户之间以及用户与资源之间的数据传输设备。</w:t>
            </w:r>
          </w:p>
          <w:p>
            <w:pPr>
              <w:widowControl/>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1)VLAN 支持基于端口的VLAN（4094个），支持QinQ和灵活QinQ</w:t>
            </w:r>
          </w:p>
          <w:p>
            <w:pPr>
              <w:widowControl/>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2)QOS 支持对端口接收报文的速率和发送报文的速率进行限制，支持CAR功能，每个端口至少支持8个输出队列，支持灵活的队列调度算法，可以同时基于端口和队列进行设置，支持SP、WDRR、WRR、WFQ、SP+WDRR等多种模式，支持报文的802.1p和DSCP优先级重新标记，支持L2（Layer 2）~L4（Layer 4）包过滤功能，提供基于源MAC地址、目的MAC地址、源IP(IPv4/IPv6)地址、目的IP(IPv4/IPv6)地址、端口、协议、VLAN的流分类，支持时间段（Time Range），支持WRED</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3)网络管理 支持命令行接口（CLI）配置，支持Telnet远程配置，支持通过Console口配置，支持schedule job，支持ISSU，支持802.1AG及802.3AH，支持SNMP（Simple Network Management Protocol），支持IMC网管系统，支持系统日志，支持分级告警，支持NTP，支持电源的告警功能，支持风扇、温度告警，支持调试信息输出，支持Ping、Tracert，支持Track，支持Telnet远程维护，支持USB进行文件上传和下载。</w:t>
            </w:r>
          </w:p>
          <w:p>
            <w:pPr>
              <w:widowControl/>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4）三年原厂质保。</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台</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4</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sz w:val="22"/>
                <w:szCs w:val="22"/>
              </w:rPr>
              <w:t>人工智能实验平台</w:t>
            </w:r>
          </w:p>
        </w:tc>
        <w:tc>
          <w:tcPr>
            <w:tcW w:w="5361" w:type="dxa"/>
            <w:shd w:val="clear" w:color="auto" w:fill="auto"/>
            <w:noWrap w:val="0"/>
            <w:vAlign w:val="top"/>
          </w:tcPr>
          <w:p>
            <w:pPr>
              <w:ind w:firstLine="450"/>
              <w:jc w:val="left"/>
              <w:rPr>
                <w:rFonts w:ascii="华文宋体" w:hAnsi="华文宋体" w:eastAsia="华文宋体" w:cs="宋体"/>
                <w:color w:val="000000"/>
                <w:kern w:val="0"/>
                <w:sz w:val="22"/>
                <w:szCs w:val="22"/>
                <w:lang w:bidi="ar"/>
              </w:rPr>
            </w:pPr>
            <w:r>
              <w:rPr>
                <w:rFonts w:hint="eastAsia" w:ascii="华文宋体" w:hAnsi="华文宋体" w:eastAsia="华文宋体" w:cs="宋体"/>
                <w:color w:val="000000"/>
                <w:kern w:val="0"/>
                <w:sz w:val="22"/>
                <w:szCs w:val="22"/>
                <w:lang w:bidi="ar"/>
              </w:rPr>
              <w:t>人工智能实训平台并具备以下功能(通过现场产品演示、或通过录制投标产品功能展示的视频现场播放、或现场展示对应功能的软件截图来证明，如演示或展示有缺漏或结果不符，视为无响应或负偏离)。</w:t>
            </w:r>
            <w:r>
              <w:rPr>
                <w:rFonts w:hint="eastAsia" w:ascii="华文宋体" w:hAnsi="华文宋体" w:eastAsia="华文宋体" w:cs="宋体"/>
                <w:color w:val="000000"/>
                <w:kern w:val="0"/>
                <w:sz w:val="22"/>
                <w:szCs w:val="22"/>
                <w:lang w:bidi="ar"/>
              </w:rPr>
              <w:br w:type="textWrapping"/>
            </w:r>
            <w:r>
              <w:rPr>
                <w:rFonts w:hint="eastAsia" w:ascii="华文宋体" w:hAnsi="华文宋体" w:eastAsia="华文宋体" w:cs="宋体"/>
                <w:color w:val="000000"/>
                <w:kern w:val="0"/>
                <w:sz w:val="22"/>
                <w:szCs w:val="22"/>
                <w:lang w:bidi="ar"/>
              </w:rPr>
              <w:t>★实训期间分配服务器资源（CPU、GPU、内存）给学生使用的内部运算工作台，完成课程后，可通过学生自行点击退出或教师点击清空关闭容器，释放系统资源（CPU、GPU、内存）归还系统，以便于科研平台调用。</w:t>
            </w:r>
          </w:p>
          <w:p>
            <w:pPr>
              <w:jc w:val="left"/>
              <w:rPr>
                <w:rFonts w:ascii="华文宋体" w:hAnsi="华文宋体" w:eastAsia="华文宋体" w:cs="宋体"/>
                <w:color w:val="000000"/>
                <w:kern w:val="0"/>
                <w:sz w:val="22"/>
                <w:szCs w:val="22"/>
                <w:lang w:bidi="ar"/>
              </w:rPr>
            </w:pPr>
            <w:r>
              <w:rPr>
                <w:rFonts w:hint="eastAsia" w:ascii="华文宋体" w:hAnsi="华文宋体" w:eastAsia="华文宋体" w:cs="宋体"/>
                <w:color w:val="000000"/>
                <w:kern w:val="0"/>
                <w:sz w:val="22"/>
                <w:szCs w:val="22"/>
                <w:lang w:bidi="ar"/>
              </w:rPr>
              <w:t>★管理平台需要支持基于CPU和</w:t>
            </w:r>
            <w:r>
              <w:rPr>
                <w:rFonts w:ascii="华文宋体" w:hAnsi="华文宋体" w:eastAsia="华文宋体" w:cs="宋体"/>
                <w:color w:val="000000"/>
                <w:kern w:val="0"/>
                <w:sz w:val="22"/>
                <w:szCs w:val="22"/>
                <w:lang w:bidi="ar"/>
              </w:rPr>
              <w:t>GPU</w:t>
            </w:r>
            <w:r>
              <w:rPr>
                <w:rFonts w:hint="eastAsia" w:ascii="华文宋体" w:hAnsi="华文宋体" w:eastAsia="华文宋体" w:cs="宋体"/>
                <w:color w:val="000000"/>
                <w:kern w:val="0"/>
                <w:sz w:val="22"/>
                <w:szCs w:val="22"/>
                <w:lang w:bidi="ar"/>
              </w:rPr>
              <w:t>算力的Tensorflow、Caffe、MXNet和Pytorch深度学习框架。</w:t>
            </w:r>
          </w:p>
          <w:p>
            <w:pPr>
              <w:widowControl/>
              <w:jc w:val="left"/>
              <w:rPr>
                <w:rFonts w:ascii="华文宋体" w:hAnsi="华文宋体" w:eastAsia="华文宋体" w:cs="宋体"/>
                <w:color w:val="000000"/>
                <w:kern w:val="0"/>
                <w:sz w:val="22"/>
                <w:szCs w:val="22"/>
                <w:lang w:bidi="ar"/>
              </w:rPr>
            </w:pPr>
            <w:r>
              <w:rPr>
                <w:rFonts w:hint="eastAsia" w:ascii="华文宋体" w:hAnsi="华文宋体" w:eastAsia="华文宋体" w:cs="宋体"/>
                <w:color w:val="000000"/>
                <w:kern w:val="0"/>
                <w:sz w:val="22"/>
                <w:szCs w:val="22"/>
                <w:lang w:bidi="ar"/>
              </w:rPr>
              <w:t>★1)平台采用云计算架构底层设计支持软件定义网络、软件定义存储、分布式计算技术及显卡透传技术，支持跨节点显卡调度任务；</w:t>
            </w:r>
            <w:r>
              <w:rPr>
                <w:rFonts w:hint="eastAsia" w:ascii="华文宋体" w:hAnsi="华文宋体" w:eastAsia="华文宋体" w:cs="宋体"/>
                <w:color w:val="000000"/>
                <w:kern w:val="0"/>
                <w:sz w:val="22"/>
                <w:szCs w:val="22"/>
                <w:lang w:bidi="ar"/>
              </w:rPr>
              <w:br w:type="textWrapping"/>
            </w:r>
            <w:r>
              <w:rPr>
                <w:rFonts w:hint="eastAsia" w:ascii="华文宋体" w:hAnsi="华文宋体" w:eastAsia="华文宋体" w:cs="宋体"/>
                <w:color w:val="000000"/>
                <w:kern w:val="0"/>
                <w:sz w:val="22"/>
                <w:szCs w:val="22"/>
                <w:lang w:bidi="ar"/>
              </w:rPr>
              <w:t>2)支持人工智能和在线实验教学管理等方面的能力，支持快速部署一套实验教学平台，在保证实验环境不受时空限制的前提下，结合分布式计算技术，还原线下实验相同的操作体验，可利用在线教学资源，整合课程和丰富的实验案例，帮助学生从理论学习到动手实验，同时简化实验教学的管理；</w:t>
            </w:r>
            <w:r>
              <w:rPr>
                <w:rFonts w:hint="eastAsia" w:ascii="宋体" w:hAnsi="宋体" w:cs="宋体"/>
                <w:color w:val="000000"/>
                <w:kern w:val="0"/>
                <w:sz w:val="22"/>
                <w:szCs w:val="22"/>
                <w:u w:val="single"/>
                <w:lang w:bidi="ar"/>
              </w:rPr>
              <w:br w:type="textWrapping"/>
            </w:r>
            <w:r>
              <w:rPr>
                <w:rFonts w:hint="eastAsia" w:ascii="华文宋体" w:hAnsi="华文宋体" w:eastAsia="华文宋体" w:cs="宋体"/>
                <w:color w:val="000000"/>
                <w:kern w:val="0"/>
                <w:sz w:val="22"/>
                <w:szCs w:val="22"/>
                <w:lang w:bidi="ar"/>
              </w:rPr>
              <w:t xml:space="preserve">★3). 资源池化调度平台：要求基于Kubernetes/Openstack开放架构进行开发，可对服务器集群的CPU、GPU、VPU和内存等资源进行统一池化管理，支持同时提供虚拟机和容器等不同基础资源用于学生实验，根据教学课程实验不同的资源需求，为学生创建在线人工智能实验环境，支持批量创建和定时回收资源；可对服务器集群的存储资源进行统一管理，构建高性能的分布式对象存储系统，用于课程文件、实验数据和实验结果的并发存储； </w:t>
            </w:r>
            <w:r>
              <w:rPr>
                <w:rFonts w:hint="eastAsia" w:ascii="华文宋体" w:hAnsi="华文宋体" w:eastAsia="华文宋体" w:cs="宋体"/>
                <w:color w:val="000000"/>
                <w:kern w:val="0"/>
                <w:sz w:val="22"/>
                <w:szCs w:val="22"/>
                <w:lang w:bidi="ar"/>
              </w:rPr>
              <w:br w:type="textWrapping"/>
            </w:r>
            <w:r>
              <w:rPr>
                <w:rFonts w:hint="eastAsia" w:ascii="华文宋体" w:hAnsi="华文宋体" w:eastAsia="华文宋体" w:cs="宋体"/>
                <w:color w:val="000000"/>
                <w:kern w:val="0"/>
                <w:sz w:val="22"/>
                <w:szCs w:val="22"/>
                <w:lang w:bidi="ar"/>
              </w:rPr>
              <w:t xml:space="preserve">▲4). 镜像服务：提供Docker镜像的存储接口，用于课程实验和科研训练所需的环境镜像的存储；提供Tensorflow、Keras和Pytorch多个主流版本的基础环境镜像；支持一键创建自定义环境镜像； </w:t>
            </w:r>
            <w:r>
              <w:rPr>
                <w:rFonts w:hint="eastAsia" w:ascii="华文宋体" w:hAnsi="华文宋体" w:eastAsia="华文宋体" w:cs="宋体"/>
                <w:color w:val="000000"/>
                <w:kern w:val="0"/>
                <w:sz w:val="22"/>
                <w:szCs w:val="22"/>
                <w:lang w:bidi="ar"/>
              </w:rPr>
              <w:br w:type="textWrapping"/>
            </w:r>
            <w:r>
              <w:rPr>
                <w:rFonts w:hint="eastAsia" w:ascii="华文宋体" w:hAnsi="华文宋体" w:eastAsia="华文宋体" w:cs="宋体"/>
                <w:color w:val="000000"/>
                <w:kern w:val="0"/>
                <w:sz w:val="22"/>
                <w:szCs w:val="22"/>
                <w:lang w:bidi="ar"/>
              </w:rPr>
              <w:t>★5)、支持课程管理，实验管理，用户管理，教学资源管理，统计报表，日志管理等功能。老师可以支持一键部署实验调度，学生实验管控，并支持学生在线试卷问答，自动判卷等功能。学生可以根据实验安排，直接通过浏览器访问实验平台，通过参考实验指南、PPT、在线视频，进行实验操作，而无需配置繁琐的本地环境；</w:t>
            </w:r>
          </w:p>
          <w:p>
            <w:pPr>
              <w:widowControl/>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lang w:bidi="ar"/>
              </w:rPr>
              <w:t>★5)</w:t>
            </w:r>
            <w:r>
              <w:rPr>
                <w:rFonts w:hint="eastAsia" w:ascii="华文宋体" w:hAnsi="华文宋体" w:eastAsia="华文宋体" w:cs="宋体"/>
                <w:color w:val="000000"/>
                <w:kern w:val="0"/>
                <w:sz w:val="22"/>
                <w:szCs w:val="22"/>
              </w:rPr>
              <w:t>用户系统管理：提供三种用户接入系统，为不同的用户提供不同的接入方式，分别为：</w:t>
            </w:r>
          </w:p>
          <w:p>
            <w:pPr>
              <w:widowControl/>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AI实验平台，用于学生日常上课接入功能，提供交互式实验、视频在线教学、在线试卷等功能。</w:t>
            </w:r>
          </w:p>
          <w:p>
            <w:pPr>
              <w:widowControl/>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AI教学平台，用于教师接入系统，提供课程分配管理、学习资源分发、自动判卷、学情跟踪等功能。</w:t>
            </w:r>
          </w:p>
          <w:p>
            <w:pPr>
              <w:widowControl/>
              <w:rPr>
                <w:rFonts w:ascii="华文宋体" w:hAnsi="华文宋体" w:eastAsia="华文宋体" w:cs="宋体"/>
                <w:color w:val="000000"/>
                <w:kern w:val="0"/>
                <w:sz w:val="22"/>
                <w:szCs w:val="22"/>
                <w:u w:val="single"/>
              </w:rPr>
            </w:pPr>
            <w:r>
              <w:rPr>
                <w:rFonts w:hint="eastAsia" w:ascii="华文宋体" w:hAnsi="华文宋体" w:eastAsia="华文宋体" w:cs="宋体"/>
                <w:color w:val="000000"/>
                <w:kern w:val="0"/>
                <w:sz w:val="22"/>
                <w:szCs w:val="22"/>
                <w:u w:val="single"/>
              </w:rPr>
              <w:t>AI科研平台，用于教学科研组接入平台，提供基于项目式系统资源申请、调度、管理、监测功能。</w:t>
            </w:r>
          </w:p>
          <w:p>
            <w:pPr>
              <w:widowControl/>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lang w:bidi="ar"/>
              </w:rPr>
              <w:t>★6）扩展性要求：整个平台支持弹性扩容，单集群可扩容不少于64节点，包含软件、硬件扩展，支持在线扩容技术，扩容过程中不中断业务。</w:t>
            </w:r>
          </w:p>
          <w:p>
            <w:pPr>
              <w:widowControl/>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7）含首次现场实施及3年售后技术支持服务，服务期内提供免费系统升级与维护服务。</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套</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5</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人工智能基础课程包</w:t>
            </w:r>
          </w:p>
        </w:tc>
        <w:tc>
          <w:tcPr>
            <w:tcW w:w="5361" w:type="dxa"/>
            <w:shd w:val="clear" w:color="auto" w:fill="auto"/>
            <w:noWrap w:val="0"/>
            <w:vAlign w:val="top"/>
          </w:tcPr>
          <w:p>
            <w:pPr>
              <w:pStyle w:val="9"/>
              <w:widowControl/>
              <w:numPr>
                <w:ilvl w:val="0"/>
                <w:numId w:val="0"/>
              </w:numPr>
              <w:ind w:leftChars="0"/>
              <w:rPr>
                <w:rFonts w:ascii="华文宋体" w:hAnsi="华文宋体" w:eastAsia="华文宋体" w:cs="宋体"/>
                <w:kern w:val="0"/>
                <w:sz w:val="22"/>
                <w:szCs w:val="22"/>
                <w:lang w:bidi="ar"/>
              </w:rPr>
            </w:pPr>
            <w:r>
              <w:rPr>
                <w:rFonts w:hint="eastAsia" w:ascii="华文宋体" w:hAnsi="华文宋体" w:eastAsia="华文宋体" w:cs="宋体"/>
                <w:color w:val="000000"/>
                <w:kern w:val="0"/>
                <w:sz w:val="22"/>
                <w:szCs w:val="22"/>
                <w:lang w:bidi="ar"/>
              </w:rPr>
              <w:t>★</w:t>
            </w:r>
            <w:r>
              <w:rPr>
                <w:rFonts w:hint="eastAsia" w:ascii="华文宋体" w:hAnsi="华文宋体" w:eastAsia="华文宋体" w:cs="宋体"/>
                <w:color w:val="000000"/>
                <w:kern w:val="0"/>
                <w:sz w:val="22"/>
                <w:szCs w:val="22"/>
                <w:lang w:val="en-US" w:eastAsia="zh-CN" w:bidi="ar"/>
              </w:rPr>
              <w:t xml:space="preserve"> 1、</w:t>
            </w:r>
            <w:r>
              <w:rPr>
                <w:rFonts w:hint="eastAsia" w:ascii="华文宋体" w:hAnsi="华文宋体" w:eastAsia="华文宋体" w:cs="宋体"/>
                <w:kern w:val="0"/>
                <w:sz w:val="22"/>
                <w:szCs w:val="22"/>
                <w:lang w:bidi="ar"/>
              </w:rPr>
              <w:t>机器学习</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至少涵盖如下内容：</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EXP1：机器学习基本方法</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EXP2：决策树与分类算法</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EXP3：聚类分析</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EXP4：文本分析</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EXP5：贝叶斯网络</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EXP6：支持向量机</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综合实训案例：</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需要多实验场景组成实训案例</w:t>
            </w:r>
          </w:p>
          <w:p>
            <w:pPr>
              <w:pStyle w:val="9"/>
              <w:widowControl/>
              <w:numPr>
                <w:ilvl w:val="0"/>
                <w:numId w:val="0"/>
              </w:numPr>
              <w:ind w:leftChars="0"/>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val="en-US" w:eastAsia="zh-CN" w:bidi="ar"/>
              </w:rPr>
              <w:t>2、</w:t>
            </w:r>
            <w:r>
              <w:rPr>
                <w:rFonts w:hint="eastAsia" w:ascii="华文宋体" w:hAnsi="华文宋体" w:eastAsia="华文宋体" w:cs="宋体"/>
                <w:kern w:val="0"/>
                <w:sz w:val="22"/>
                <w:szCs w:val="22"/>
                <w:lang w:bidi="ar"/>
              </w:rPr>
              <w:t>神经网络和深度学习</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至少涵盖如下内容：</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EXP1：线性模型（决策、回归、感知器、支持向量机等机器学习内容回顾）</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EXP2：前馈神经元网络</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EXP3：卷积神经元网络</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EXP4：循环神经元网络</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EXP5：网络优化与正则化</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EXP6：模型的独立学习</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综合实训案例</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需要多实验场景组成实训案例</w:t>
            </w:r>
          </w:p>
          <w:p>
            <w:pPr>
              <w:widowControl/>
              <w:numPr>
                <w:ilvl w:val="0"/>
                <w:numId w:val="0"/>
              </w:numPr>
              <w:ind w:leftChars="0"/>
              <w:rPr>
                <w:rFonts w:ascii="华文宋体" w:hAnsi="华文宋体" w:eastAsia="华文宋体" w:cs="宋体"/>
                <w:kern w:val="0"/>
                <w:sz w:val="22"/>
                <w:szCs w:val="22"/>
                <w:lang w:eastAsia="zh-Hans" w:bidi="ar"/>
              </w:rPr>
            </w:pPr>
            <w:r>
              <w:rPr>
                <w:rFonts w:hint="eastAsia" w:ascii="华文宋体" w:hAnsi="华文宋体" w:eastAsia="华文宋体" w:cs="宋体"/>
                <w:color w:val="000000"/>
                <w:kern w:val="0"/>
                <w:sz w:val="22"/>
                <w:szCs w:val="22"/>
                <w:lang w:bidi="ar"/>
              </w:rPr>
              <w:t>★</w:t>
            </w:r>
            <w:r>
              <w:rPr>
                <w:rFonts w:hint="eastAsia" w:ascii="华文宋体" w:hAnsi="华文宋体" w:eastAsia="华文宋体" w:cs="宋体"/>
                <w:color w:val="000000"/>
                <w:kern w:val="0"/>
                <w:sz w:val="22"/>
                <w:szCs w:val="22"/>
                <w:lang w:val="en-US" w:eastAsia="zh-CN" w:bidi="ar"/>
              </w:rPr>
              <w:t xml:space="preserve"> </w:t>
            </w:r>
            <w:r>
              <w:rPr>
                <w:rFonts w:hint="eastAsia" w:ascii="华文宋体" w:hAnsi="华文宋体" w:eastAsia="华文宋体" w:cs="宋体"/>
                <w:kern w:val="0"/>
                <w:sz w:val="22"/>
                <w:szCs w:val="22"/>
                <w:lang w:val="en-US" w:eastAsia="zh-CN" w:bidi="ar"/>
              </w:rPr>
              <w:t>3、</w:t>
            </w:r>
            <w:r>
              <w:rPr>
                <w:rFonts w:hint="eastAsia" w:ascii="华文宋体" w:hAnsi="华文宋体" w:eastAsia="华文宋体" w:cs="宋体"/>
                <w:kern w:val="0"/>
                <w:sz w:val="22"/>
                <w:szCs w:val="22"/>
                <w:lang w:eastAsia="zh-Hans" w:bidi="ar"/>
              </w:rPr>
              <w:t>人工智能指导研究</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人工智能概念；</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多代理系统及设计；</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自然语言处理以及知识表示和推统；</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AI道德理论；</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智能系统；</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虚拟现实和游戏引擎技术；</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优化及其在计算机科学中的应用；</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科学技术的数学建模；</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运筹学方法；</w:t>
            </w:r>
          </w:p>
          <w:p>
            <w:pPr>
              <w:widowControl/>
              <w:ind w:left="36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随机优化。</w:t>
            </w:r>
          </w:p>
          <w:p>
            <w:pPr>
              <w:widowControl/>
              <w:numPr>
                <w:ilvl w:val="0"/>
                <w:numId w:val="0"/>
              </w:numPr>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val="en-US" w:eastAsia="zh-CN" w:bidi="ar"/>
              </w:rPr>
              <w:t>4、</w:t>
            </w:r>
            <w:r>
              <w:rPr>
                <w:rFonts w:hint="eastAsia" w:ascii="华文宋体" w:hAnsi="华文宋体" w:eastAsia="华文宋体" w:cs="宋体"/>
                <w:kern w:val="0"/>
                <w:sz w:val="22"/>
                <w:szCs w:val="22"/>
                <w:lang w:eastAsia="zh-Hans" w:bidi="ar"/>
              </w:rPr>
              <w:t>OpenCV和机器视觉</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1</w:t>
            </w:r>
            <w:r>
              <w:rPr>
                <w:rFonts w:hint="eastAsia" w:ascii="华文宋体" w:hAnsi="华文宋体" w:eastAsia="华文宋体" w:cs="宋体"/>
                <w:kern w:val="0"/>
                <w:sz w:val="22"/>
                <w:szCs w:val="22"/>
                <w:lang w:eastAsia="zh-Hans" w:bidi="ar"/>
              </w:rPr>
              <w:t>:区域与图像分割</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2</w:t>
            </w:r>
            <w:r>
              <w:rPr>
                <w:rFonts w:hint="eastAsia" w:ascii="华文宋体" w:hAnsi="华文宋体" w:eastAsia="华文宋体" w:cs="宋体"/>
                <w:kern w:val="0"/>
                <w:sz w:val="22"/>
                <w:szCs w:val="22"/>
                <w:lang w:eastAsia="zh-Hans" w:bidi="ar"/>
              </w:rPr>
              <w:t xml:space="preserve">:OpenCV图像处理的工具库 </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3</w:t>
            </w:r>
            <w:r>
              <w:rPr>
                <w:rFonts w:hint="eastAsia" w:ascii="华文宋体" w:hAnsi="华文宋体" w:eastAsia="华文宋体" w:cs="宋体"/>
                <w:kern w:val="0"/>
                <w:sz w:val="22"/>
                <w:szCs w:val="22"/>
                <w:lang w:eastAsia="zh-Hans" w:bidi="ar"/>
              </w:rPr>
              <w:t>:处理文件、摄像头和图形用户界面</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4</w:t>
            </w:r>
            <w:r>
              <w:rPr>
                <w:rFonts w:hint="eastAsia" w:ascii="华文宋体" w:hAnsi="华文宋体" w:eastAsia="华文宋体" w:cs="宋体"/>
                <w:kern w:val="0"/>
                <w:sz w:val="22"/>
                <w:szCs w:val="22"/>
                <w:lang w:eastAsia="zh-Hans" w:bidi="ar"/>
              </w:rPr>
              <w:t>:使用OpenCV3作图像处理</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5</w:t>
            </w:r>
            <w:r>
              <w:rPr>
                <w:rFonts w:hint="eastAsia" w:ascii="华文宋体" w:hAnsi="华文宋体" w:eastAsia="华文宋体" w:cs="宋体"/>
                <w:kern w:val="0"/>
                <w:sz w:val="22"/>
                <w:szCs w:val="22"/>
                <w:lang w:eastAsia="zh-Hans" w:bidi="ar"/>
              </w:rPr>
              <w:t>:深度估计与分割</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6</w:t>
            </w:r>
            <w:r>
              <w:rPr>
                <w:rFonts w:hint="eastAsia" w:ascii="华文宋体" w:hAnsi="华文宋体" w:eastAsia="华文宋体" w:cs="宋体"/>
                <w:kern w:val="0"/>
                <w:sz w:val="22"/>
                <w:szCs w:val="22"/>
                <w:lang w:eastAsia="zh-Hans" w:bidi="ar"/>
              </w:rPr>
              <w:t>:人脸的识别与检测</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7</w:t>
            </w:r>
            <w:r>
              <w:rPr>
                <w:rFonts w:hint="eastAsia" w:ascii="华文宋体" w:hAnsi="华文宋体" w:eastAsia="华文宋体" w:cs="宋体"/>
                <w:kern w:val="0"/>
                <w:sz w:val="22"/>
                <w:szCs w:val="22"/>
                <w:lang w:eastAsia="zh-Hans" w:bidi="ar"/>
              </w:rPr>
              <w:t>:目标的识别与检测</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8</w:t>
            </w:r>
            <w:r>
              <w:rPr>
                <w:rFonts w:hint="eastAsia" w:ascii="华文宋体" w:hAnsi="华文宋体" w:eastAsia="华文宋体" w:cs="宋体"/>
                <w:kern w:val="0"/>
                <w:sz w:val="22"/>
                <w:szCs w:val="22"/>
                <w:lang w:eastAsia="zh-Hans" w:bidi="ar"/>
              </w:rPr>
              <w:t>:目标跟踪</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综合实训案例：</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需要多实验场景组成实训案例</w:t>
            </w:r>
          </w:p>
          <w:p>
            <w:pPr>
              <w:widowControl/>
              <w:numPr>
                <w:ilvl w:val="0"/>
                <w:numId w:val="0"/>
              </w:numPr>
              <w:ind w:leftChars="0"/>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val="en-US" w:eastAsia="zh-CN" w:bidi="ar"/>
              </w:rPr>
              <w:t>5、</w:t>
            </w:r>
            <w:r>
              <w:rPr>
                <w:rFonts w:hint="eastAsia" w:ascii="华文宋体" w:hAnsi="华文宋体" w:eastAsia="华文宋体" w:cs="宋体"/>
                <w:kern w:val="0"/>
                <w:sz w:val="22"/>
                <w:szCs w:val="22"/>
                <w:lang w:eastAsia="zh-Hans" w:bidi="ar"/>
              </w:rPr>
              <w:t>自然语言处理</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1</w:t>
            </w:r>
            <w:r>
              <w:rPr>
                <w:rFonts w:hint="eastAsia" w:ascii="华文宋体" w:hAnsi="华文宋体" w:eastAsia="华文宋体" w:cs="宋体"/>
                <w:kern w:val="0"/>
                <w:sz w:val="22"/>
                <w:szCs w:val="22"/>
                <w:lang w:eastAsia="zh-Hans" w:bidi="ar"/>
              </w:rPr>
              <w:t>:n元语法模型实践</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2</w:t>
            </w:r>
            <w:r>
              <w:rPr>
                <w:rFonts w:hint="eastAsia" w:ascii="华文宋体" w:hAnsi="华文宋体" w:eastAsia="华文宋体" w:cs="宋体"/>
                <w:kern w:val="0"/>
                <w:sz w:val="22"/>
                <w:szCs w:val="22"/>
                <w:lang w:eastAsia="zh-Hans" w:bidi="ar"/>
              </w:rPr>
              <w:t xml:space="preserve">:常用工具包使用 </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3</w:t>
            </w:r>
            <w:r>
              <w:rPr>
                <w:rFonts w:hint="eastAsia" w:ascii="华文宋体" w:hAnsi="华文宋体" w:eastAsia="华文宋体" w:cs="宋体"/>
                <w:kern w:val="0"/>
                <w:sz w:val="22"/>
                <w:szCs w:val="22"/>
                <w:lang w:eastAsia="zh-Hans" w:bidi="ar"/>
              </w:rPr>
              <w:t>:字符编码与字频统计</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4</w:t>
            </w:r>
            <w:r>
              <w:rPr>
                <w:rFonts w:hint="eastAsia" w:ascii="华文宋体" w:hAnsi="华文宋体" w:eastAsia="华文宋体" w:cs="宋体"/>
                <w:kern w:val="0"/>
                <w:sz w:val="22"/>
                <w:szCs w:val="22"/>
                <w:lang w:eastAsia="zh-Hans" w:bidi="ar"/>
              </w:rPr>
              <w:t>:词法分析实验</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5</w:t>
            </w:r>
            <w:r>
              <w:rPr>
                <w:rFonts w:hint="eastAsia" w:ascii="华文宋体" w:hAnsi="华文宋体" w:eastAsia="华文宋体" w:cs="宋体"/>
                <w:kern w:val="0"/>
                <w:sz w:val="22"/>
                <w:szCs w:val="22"/>
                <w:lang w:eastAsia="zh-Hans" w:bidi="ar"/>
              </w:rPr>
              <w:t>:句法分析实验</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eastAsia="zh-Hans" w:bidi="ar"/>
              </w:rPr>
            </w:pPr>
            <w:r>
              <w:rPr>
                <w:rFonts w:hint="eastAsia" w:ascii="华文宋体" w:hAnsi="华文宋体" w:eastAsia="华文宋体" w:cs="宋体"/>
                <w:kern w:val="0"/>
                <w:sz w:val="22"/>
                <w:szCs w:val="22"/>
                <w:lang w:eastAsia="zh-Hans" w:bidi="ar"/>
              </w:rPr>
              <w:t>EXP</w:t>
            </w:r>
            <w:r>
              <w:rPr>
                <w:rFonts w:ascii="华文宋体" w:hAnsi="华文宋体" w:eastAsia="华文宋体" w:cs="宋体"/>
                <w:kern w:val="0"/>
                <w:sz w:val="22"/>
                <w:szCs w:val="22"/>
                <w:lang w:eastAsia="zh-Hans" w:bidi="ar"/>
              </w:rPr>
              <w:t>6</w:t>
            </w:r>
            <w:r>
              <w:rPr>
                <w:rFonts w:hint="eastAsia" w:ascii="华文宋体" w:hAnsi="华文宋体" w:eastAsia="华文宋体" w:cs="宋体"/>
                <w:kern w:val="0"/>
                <w:sz w:val="22"/>
                <w:szCs w:val="22"/>
                <w:lang w:eastAsia="zh-Hans" w:bidi="ar"/>
              </w:rPr>
              <w:t>:语义分析实验</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（提供不少于2个实验场景）</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综合实训案例：</w:t>
            </w: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需要多实验场景组成实训案例</w:t>
            </w:r>
          </w:p>
          <w:p>
            <w:pPr>
              <w:widowControl/>
              <w:rPr>
                <w:rFonts w:ascii="华文宋体" w:hAnsi="华文宋体" w:eastAsia="华文宋体" w:cs="宋体"/>
                <w:kern w:val="0"/>
                <w:sz w:val="22"/>
                <w:szCs w:val="22"/>
                <w:lang w:bidi="ar"/>
              </w:rPr>
            </w:pPr>
          </w:p>
          <w:p>
            <w:pPr>
              <w:widowControl/>
              <w:rPr>
                <w:rFonts w:ascii="华文宋体" w:hAnsi="华文宋体" w:eastAsia="华文宋体" w:cs="宋体"/>
                <w:kern w:val="0"/>
                <w:sz w:val="22"/>
                <w:szCs w:val="22"/>
                <w:lang w:bidi="ar"/>
              </w:rPr>
            </w:pPr>
            <w:r>
              <w:rPr>
                <w:rFonts w:hint="eastAsia" w:ascii="华文宋体" w:hAnsi="华文宋体" w:eastAsia="华文宋体" w:cs="宋体"/>
                <w:kern w:val="0"/>
                <w:sz w:val="22"/>
                <w:szCs w:val="22"/>
                <w:lang w:bidi="ar"/>
              </w:rPr>
              <w:t>备注：其中课程1-3为平台上线后1个月内提供；课程4-5为平台上线后3个月内提供；课程内容可根据院校情况调整。</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套</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6</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显示器和鼠标键盘</w:t>
            </w:r>
          </w:p>
        </w:tc>
        <w:tc>
          <w:tcPr>
            <w:tcW w:w="5361" w:type="dxa"/>
            <w:shd w:val="clear" w:color="auto" w:fill="auto"/>
            <w:noWrap w:val="0"/>
            <w:vAlign w:val="top"/>
          </w:tcPr>
          <w:p>
            <w:pPr>
              <w:widowControl/>
              <w:jc w:val="left"/>
              <w:rPr>
                <w:rFonts w:ascii="华文宋体" w:hAnsi="华文宋体" w:eastAsia="华文宋体"/>
                <w:sz w:val="22"/>
                <w:szCs w:val="22"/>
              </w:rPr>
            </w:pPr>
            <w:r>
              <w:rPr>
                <w:rFonts w:hint="eastAsia" w:ascii="华文宋体" w:hAnsi="华文宋体" w:eastAsia="华文宋体"/>
                <w:sz w:val="22"/>
                <w:szCs w:val="22"/>
              </w:rPr>
              <w:t>19. 5寸；宽高比16:9；</w:t>
            </w:r>
          </w:p>
          <w:p>
            <w:pPr>
              <w:widowControl/>
              <w:jc w:val="left"/>
              <w:rPr>
                <w:rFonts w:ascii="华文宋体" w:hAnsi="华文宋体" w:eastAsia="华文宋体"/>
                <w:sz w:val="22"/>
                <w:szCs w:val="22"/>
              </w:rPr>
            </w:pPr>
            <w:r>
              <w:rPr>
                <w:rFonts w:hint="eastAsia" w:ascii="华文宋体" w:hAnsi="华文宋体" w:eastAsia="华文宋体"/>
                <w:sz w:val="22"/>
                <w:szCs w:val="22"/>
              </w:rPr>
              <w:t xml:space="preserve">支持最佳分辨率: 1600x900@60Hz；带有一个VGA接口和一个HDMI接口， 支持LED背光。 </w:t>
            </w:r>
            <w:r>
              <w:rPr>
                <w:rFonts w:ascii="华文宋体" w:hAnsi="华文宋体" w:eastAsia="华文宋体"/>
                <w:sz w:val="22"/>
                <w:szCs w:val="22"/>
              </w:rPr>
              <w:t xml:space="preserve">           </w:t>
            </w:r>
            <w:r>
              <w:rPr>
                <w:rFonts w:hint="eastAsia" w:ascii="华文宋体" w:hAnsi="华文宋体" w:eastAsia="华文宋体"/>
                <w:sz w:val="22"/>
                <w:szCs w:val="22"/>
              </w:rPr>
              <w:t xml:space="preserve"> </w:t>
            </w:r>
          </w:p>
          <w:p>
            <w:pPr>
              <w:widowControl/>
              <w:jc w:val="left"/>
              <w:rPr>
                <w:rFonts w:ascii="华文宋体" w:hAnsi="华文宋体" w:eastAsia="华文宋体" w:cs="宋体"/>
                <w:color w:val="000000"/>
                <w:kern w:val="0"/>
                <w:sz w:val="22"/>
                <w:szCs w:val="22"/>
              </w:rPr>
            </w:pPr>
            <w:r>
              <w:rPr>
                <w:rFonts w:hint="eastAsia" w:ascii="华文宋体" w:hAnsi="华文宋体" w:eastAsia="华文宋体"/>
                <w:sz w:val="22"/>
                <w:szCs w:val="22"/>
              </w:rPr>
              <w:t>超薄有线键鼠套装，接口：USB,颜色：黑色</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套</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41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7</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机柜</w:t>
            </w:r>
          </w:p>
        </w:tc>
        <w:tc>
          <w:tcPr>
            <w:tcW w:w="5361" w:type="dxa"/>
            <w:shd w:val="clear" w:color="auto" w:fill="auto"/>
            <w:noWrap w:val="0"/>
            <w:vAlign w:val="top"/>
          </w:tcPr>
          <w:p>
            <w:pPr>
              <w:widowControl/>
              <w:jc w:val="left"/>
              <w:rPr>
                <w:rFonts w:ascii="华文宋体" w:hAnsi="华文宋体" w:eastAsia="华文宋体"/>
                <w:sz w:val="22"/>
                <w:szCs w:val="22"/>
              </w:rPr>
            </w:pPr>
            <w:r>
              <w:rPr>
                <w:rFonts w:hint="eastAsia" w:ascii="华文宋体" w:hAnsi="华文宋体" w:eastAsia="华文宋体"/>
                <w:sz w:val="22"/>
                <w:szCs w:val="22"/>
              </w:rPr>
              <w:t>42U高（2米） 600*1000*2045MM服务器机柜  2排PDU，适用于固定服务器，600*1000（深度）MM尺寸的所有品牌机柜通用。</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台</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8</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ascii="华文宋体" w:hAnsi="华文宋体" w:eastAsia="华文宋体" w:cs="宋体"/>
                <w:color w:val="000000"/>
                <w:kern w:val="0"/>
                <w:sz w:val="22"/>
                <w:szCs w:val="22"/>
              </w:rPr>
              <w:t>K</w:t>
            </w:r>
            <w:r>
              <w:rPr>
                <w:rFonts w:hint="eastAsia" w:ascii="华文宋体" w:hAnsi="华文宋体" w:eastAsia="华文宋体" w:cs="宋体"/>
                <w:color w:val="000000"/>
                <w:kern w:val="0"/>
                <w:sz w:val="22"/>
                <w:szCs w:val="22"/>
              </w:rPr>
              <w:t>vm</w:t>
            </w:r>
          </w:p>
        </w:tc>
        <w:tc>
          <w:tcPr>
            <w:tcW w:w="5361" w:type="dxa"/>
            <w:shd w:val="clear" w:color="auto" w:fill="auto"/>
            <w:noWrap w:val="0"/>
            <w:vAlign w:val="top"/>
          </w:tcPr>
          <w:p>
            <w:pPr>
              <w:jc w:val="left"/>
              <w:rPr>
                <w:rFonts w:ascii="华文宋体" w:hAnsi="华文宋体" w:eastAsia="华文宋体"/>
                <w:sz w:val="22"/>
                <w:szCs w:val="22"/>
              </w:rPr>
            </w:pPr>
          </w:p>
          <w:p>
            <w:pPr>
              <w:jc w:val="left"/>
              <w:rPr>
                <w:rFonts w:ascii="华文宋体" w:hAnsi="华文宋体" w:eastAsia="华文宋体" w:cs="宋体"/>
                <w:kern w:val="0"/>
                <w:sz w:val="22"/>
                <w:szCs w:val="22"/>
                <w:lang w:bidi="ar"/>
              </w:rPr>
            </w:pPr>
            <w:r>
              <w:rPr>
                <w:rFonts w:hint="eastAsia" w:ascii="华文宋体" w:hAnsi="华文宋体" w:eastAsia="华文宋体"/>
                <w:sz w:val="22"/>
                <w:szCs w:val="22"/>
              </w:rPr>
              <w:t>kvm切换器16口17英寸机架式 显示屏 鼠标 键盘 切换四合一</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台</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9</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网络设备</w:t>
            </w:r>
          </w:p>
        </w:tc>
        <w:tc>
          <w:tcPr>
            <w:tcW w:w="5361" w:type="dxa"/>
            <w:shd w:val="clear" w:color="auto" w:fill="auto"/>
            <w:noWrap w:val="0"/>
            <w:vAlign w:val="top"/>
          </w:tcPr>
          <w:p>
            <w:pPr>
              <w:jc w:val="left"/>
              <w:rPr>
                <w:rFonts w:ascii="华文宋体" w:hAnsi="华文宋体" w:eastAsia="华文宋体"/>
                <w:sz w:val="22"/>
                <w:szCs w:val="22"/>
              </w:rPr>
            </w:pPr>
            <w:r>
              <w:rPr>
                <w:rFonts w:hint="eastAsia" w:ascii="华文宋体" w:hAnsi="华文宋体" w:eastAsia="华文宋体"/>
                <w:sz w:val="22"/>
                <w:szCs w:val="22"/>
              </w:rPr>
              <w:t>1）</w:t>
            </w:r>
            <w:r>
              <w:rPr>
                <w:rFonts w:ascii="华文宋体" w:hAnsi="华文宋体" w:eastAsia="华文宋体"/>
                <w:sz w:val="22"/>
                <w:szCs w:val="22"/>
              </w:rPr>
              <w:t>48</w:t>
            </w:r>
            <w:r>
              <w:rPr>
                <w:rFonts w:ascii="华文宋体" w:hAnsi="华文宋体" w:eastAsia="华文宋体" w:cs="Lantinghei TC Heavy"/>
                <w:sz w:val="22"/>
                <w:szCs w:val="22"/>
              </w:rPr>
              <w:t>口全千兆企业</w:t>
            </w:r>
            <w:r>
              <w:rPr>
                <w:rFonts w:ascii="华文宋体" w:hAnsi="华文宋体" w:eastAsia="华文宋体" w:cs="Libian SC Regular"/>
                <w:sz w:val="22"/>
                <w:szCs w:val="22"/>
              </w:rPr>
              <w:t>级</w:t>
            </w:r>
            <w:r>
              <w:rPr>
                <w:rFonts w:ascii="华文宋体" w:hAnsi="华文宋体" w:eastAsia="华文宋体" w:cs="Lantinghei TC Heavy"/>
                <w:sz w:val="22"/>
                <w:szCs w:val="22"/>
              </w:rPr>
              <w:t>交</w:t>
            </w:r>
            <w:r>
              <w:rPr>
                <w:rFonts w:ascii="华文宋体" w:hAnsi="华文宋体" w:eastAsia="华文宋体" w:cs="Libian SC Regular"/>
                <w:sz w:val="22"/>
                <w:szCs w:val="22"/>
              </w:rPr>
              <w:t>换</w:t>
            </w:r>
            <w:r>
              <w:rPr>
                <w:rFonts w:ascii="华文宋体" w:hAnsi="华文宋体" w:eastAsia="华文宋体" w:cs="Lantinghei TC Heavy"/>
                <w:sz w:val="22"/>
                <w:szCs w:val="22"/>
              </w:rPr>
              <w:t>机</w:t>
            </w:r>
            <w:r>
              <w:rPr>
                <w:rFonts w:hint="eastAsia" w:ascii="华文宋体" w:hAnsi="华文宋体" w:eastAsia="华文宋体"/>
                <w:sz w:val="22"/>
                <w:szCs w:val="22"/>
              </w:rPr>
              <w:t>。</w:t>
            </w:r>
          </w:p>
          <w:p>
            <w:pPr>
              <w:jc w:val="left"/>
              <w:rPr>
                <w:rFonts w:ascii="华文宋体" w:hAnsi="华文宋体" w:eastAsia="华文宋体"/>
                <w:sz w:val="22"/>
                <w:szCs w:val="22"/>
              </w:rPr>
            </w:pPr>
            <w:r>
              <w:rPr>
                <w:rFonts w:hint="eastAsia" w:ascii="华文宋体" w:hAnsi="华文宋体" w:eastAsia="华文宋体"/>
                <w:sz w:val="22"/>
                <w:szCs w:val="22"/>
              </w:rPr>
              <w:t>2）网管网络交换器，支持vlan。</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台</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r>
              <w:rPr>
                <w:rFonts w:ascii="华文宋体" w:hAnsi="华文宋体" w:eastAsia="华文宋体" w:cs="宋体"/>
                <w:color w:val="000000"/>
                <w:kern w:val="0"/>
                <w:sz w:val="22"/>
                <w:szCs w:val="22"/>
              </w:rPr>
              <w:t>0</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sz w:val="22"/>
                <w:szCs w:val="22"/>
              </w:rPr>
              <w:t>无线话咪</w:t>
            </w:r>
          </w:p>
        </w:tc>
        <w:tc>
          <w:tcPr>
            <w:tcW w:w="5361" w:type="dxa"/>
            <w:shd w:val="clear" w:color="auto" w:fill="auto"/>
            <w:noWrap w:val="0"/>
            <w:vAlign w:val="top"/>
          </w:tcPr>
          <w:p>
            <w:pPr>
              <w:jc w:val="left"/>
              <w:rPr>
                <w:rFonts w:ascii="华文宋体" w:hAnsi="华文宋体" w:eastAsia="华文宋体"/>
                <w:sz w:val="22"/>
                <w:szCs w:val="22"/>
              </w:rPr>
            </w:pPr>
            <w:r>
              <w:rPr>
                <w:rFonts w:hint="eastAsia" w:ascii="华文宋体" w:hAnsi="华文宋体" w:eastAsia="华文宋体"/>
                <w:sz w:val="22"/>
                <w:szCs w:val="22"/>
              </w:rPr>
              <w:t>1）LED液晶屏显示，信号接收距离80米，拾音距离2cm，UHF及2.4G信号传输，激光教鞭及PPT翻页功能，配充电器1个，6.5mm音频线1条；</w:t>
            </w:r>
          </w:p>
          <w:p>
            <w:pPr>
              <w:jc w:val="left"/>
              <w:rPr>
                <w:rFonts w:ascii="华文宋体" w:hAnsi="华文宋体" w:eastAsia="华文宋体"/>
                <w:sz w:val="22"/>
                <w:szCs w:val="22"/>
              </w:rPr>
            </w:pPr>
            <w:r>
              <w:rPr>
                <w:rFonts w:hint="eastAsia" w:ascii="华文宋体" w:hAnsi="华文宋体" w:eastAsia="华文宋体"/>
                <w:sz w:val="22"/>
                <w:szCs w:val="22"/>
              </w:rPr>
              <w:t>2）另外配备1条5米6.5mm转3.5mm音频转接线。</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套</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r>
              <w:rPr>
                <w:rFonts w:ascii="华文宋体" w:hAnsi="华文宋体" w:eastAsia="华文宋体" w:cs="宋体"/>
                <w:color w:val="000000"/>
                <w:kern w:val="0"/>
                <w:sz w:val="22"/>
                <w:szCs w:val="22"/>
              </w:rPr>
              <w:t>1</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sz w:val="22"/>
                <w:szCs w:val="22"/>
              </w:rPr>
              <w:t>功放音箱设备</w:t>
            </w:r>
          </w:p>
        </w:tc>
        <w:tc>
          <w:tcPr>
            <w:tcW w:w="5361" w:type="dxa"/>
            <w:shd w:val="clear" w:color="auto" w:fill="auto"/>
            <w:noWrap w:val="0"/>
            <w:vAlign w:val="top"/>
          </w:tcPr>
          <w:p>
            <w:pPr>
              <w:jc w:val="left"/>
              <w:rPr>
                <w:rFonts w:ascii="华文宋体" w:hAnsi="华文宋体" w:eastAsia="华文宋体"/>
                <w:sz w:val="22"/>
                <w:szCs w:val="22"/>
              </w:rPr>
            </w:pPr>
            <w:r>
              <w:rPr>
                <w:rFonts w:hint="eastAsia" w:ascii="华文宋体" w:hAnsi="华文宋体" w:eastAsia="华文宋体"/>
                <w:sz w:val="22"/>
                <w:szCs w:val="22"/>
              </w:rPr>
              <w:t>1）拥有四组输出接口，可连接4只4-8Ω音箱；三路话筒插口（前2后1）；</w:t>
            </w:r>
          </w:p>
          <w:p>
            <w:pPr>
              <w:jc w:val="left"/>
              <w:rPr>
                <w:rFonts w:ascii="华文宋体" w:hAnsi="华文宋体" w:eastAsia="华文宋体"/>
                <w:sz w:val="22"/>
                <w:szCs w:val="22"/>
              </w:rPr>
            </w:pPr>
            <w:r>
              <w:rPr>
                <w:rFonts w:hint="eastAsia" w:ascii="华文宋体" w:hAnsi="华文宋体" w:eastAsia="华文宋体"/>
                <w:sz w:val="22"/>
                <w:szCs w:val="22"/>
              </w:rPr>
              <w:t>2）四路音源输入，带输入选择切换按键，开机预置“通道1”；双声道信号指示灯；带1*RS232接口；带数码显视屏；</w:t>
            </w:r>
          </w:p>
          <w:p>
            <w:pPr>
              <w:jc w:val="left"/>
              <w:rPr>
                <w:rFonts w:ascii="华文宋体" w:hAnsi="华文宋体" w:eastAsia="华文宋体"/>
                <w:sz w:val="22"/>
                <w:szCs w:val="22"/>
              </w:rPr>
            </w:pPr>
            <w:r>
              <w:rPr>
                <w:rFonts w:hint="eastAsia" w:ascii="华文宋体" w:hAnsi="华文宋体" w:eastAsia="华文宋体"/>
                <w:sz w:val="22"/>
                <w:szCs w:val="22"/>
              </w:rPr>
              <w:t>3）额定功率：2×100W/8Ω；最大功率：2×160W/8Ω ；频率响应：线路输入 20Hz-20KHz、话筒 60Hz-14KHz；线路音调控制：高音 10KHz±12dB、低音 100Hz±12dB；</w:t>
            </w:r>
          </w:p>
          <w:p>
            <w:pPr>
              <w:jc w:val="left"/>
              <w:rPr>
                <w:rFonts w:ascii="华文宋体" w:hAnsi="华文宋体" w:eastAsia="华文宋体"/>
                <w:sz w:val="22"/>
                <w:szCs w:val="22"/>
              </w:rPr>
            </w:pPr>
            <w:r>
              <w:rPr>
                <w:rFonts w:hint="eastAsia" w:ascii="华文宋体" w:hAnsi="华文宋体" w:eastAsia="华文宋体"/>
                <w:sz w:val="22"/>
                <w:szCs w:val="22"/>
              </w:rPr>
              <w:t>4）带红外功能。信噪比：≥80dB(A计权)；主保险丝：3A；电源：交流220V±10%/50Hz；1）无源式音箱，额定功率：60W，最大功率：120W，额定阻抗：8Ω；</w:t>
            </w:r>
          </w:p>
          <w:p>
            <w:pPr>
              <w:jc w:val="left"/>
              <w:rPr>
                <w:rFonts w:ascii="华文宋体" w:hAnsi="华文宋体" w:eastAsia="华文宋体"/>
                <w:sz w:val="22"/>
                <w:szCs w:val="22"/>
              </w:rPr>
            </w:pPr>
            <w:r>
              <w:rPr>
                <w:rFonts w:hint="eastAsia" w:ascii="华文宋体" w:hAnsi="华文宋体" w:eastAsia="华文宋体"/>
                <w:sz w:val="22"/>
                <w:szCs w:val="22"/>
              </w:rPr>
              <w:t>5） 频率响应：57Hz-19.6kHz，灵敏度：90dB/W/M（＞87dB/w/m标准），最大声压级：105dB， 驱动器：两分频，8寸长冲程低音驱动器*1、3寸前纸盆高音*1，</w:t>
            </w:r>
          </w:p>
          <w:p>
            <w:pPr>
              <w:jc w:val="left"/>
              <w:rPr>
                <w:rFonts w:ascii="华文宋体" w:hAnsi="华文宋体" w:eastAsia="华文宋体"/>
                <w:sz w:val="22"/>
                <w:szCs w:val="22"/>
              </w:rPr>
            </w:pPr>
            <w:r>
              <w:rPr>
                <w:rFonts w:hint="eastAsia" w:ascii="华文宋体" w:hAnsi="华文宋体" w:eastAsia="华文宋体"/>
                <w:sz w:val="22"/>
                <w:szCs w:val="22"/>
              </w:rPr>
              <w:t>6）箱体尺寸（只）： 250×200×380mm；净重：12kg/对；提供原厂3年质保。（适用于120平米以下的教室）</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套</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r>
              <w:rPr>
                <w:rFonts w:ascii="华文宋体" w:hAnsi="华文宋体" w:eastAsia="华文宋体" w:cs="宋体"/>
                <w:color w:val="000000"/>
                <w:kern w:val="0"/>
                <w:sz w:val="22"/>
                <w:szCs w:val="22"/>
              </w:rPr>
              <w:t>2</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sz w:val="22"/>
                <w:szCs w:val="22"/>
              </w:rPr>
              <w:t>立柜式空调</w:t>
            </w:r>
          </w:p>
        </w:tc>
        <w:tc>
          <w:tcPr>
            <w:tcW w:w="5361" w:type="dxa"/>
            <w:shd w:val="clear" w:color="auto" w:fill="auto"/>
            <w:noWrap w:val="0"/>
            <w:vAlign w:val="top"/>
          </w:tcPr>
          <w:p>
            <w:pPr>
              <w:jc w:val="left"/>
              <w:rPr>
                <w:rFonts w:ascii="华文宋体" w:hAnsi="华文宋体" w:eastAsia="华文宋体"/>
                <w:sz w:val="22"/>
                <w:szCs w:val="22"/>
              </w:rPr>
            </w:pPr>
            <w:r>
              <w:rPr>
                <w:rFonts w:hint="eastAsia" w:ascii="华文宋体" w:hAnsi="华文宋体" w:eastAsia="华文宋体"/>
                <w:sz w:val="22"/>
                <w:szCs w:val="22"/>
              </w:rPr>
              <w:t>大</w:t>
            </w:r>
            <w:r>
              <w:rPr>
                <w:rFonts w:ascii="华文宋体" w:hAnsi="华文宋体" w:eastAsia="华文宋体"/>
                <w:sz w:val="22"/>
                <w:szCs w:val="22"/>
              </w:rPr>
              <w:t>5</w:t>
            </w:r>
            <w:r>
              <w:rPr>
                <w:rFonts w:hint="eastAsia" w:ascii="华文宋体" w:hAnsi="华文宋体" w:eastAsia="华文宋体"/>
                <w:sz w:val="22"/>
                <w:szCs w:val="22"/>
              </w:rPr>
              <w:t>匹3</w:t>
            </w:r>
            <w:r>
              <w:rPr>
                <w:rFonts w:ascii="华文宋体" w:hAnsi="华文宋体" w:eastAsia="华文宋体"/>
                <w:sz w:val="22"/>
                <w:szCs w:val="22"/>
              </w:rPr>
              <w:t>80V</w:t>
            </w:r>
            <w:r>
              <w:rPr>
                <w:rFonts w:hint="eastAsia" w:ascii="华文宋体" w:hAnsi="华文宋体" w:eastAsia="华文宋体"/>
                <w:sz w:val="22"/>
                <w:szCs w:val="22"/>
              </w:rPr>
              <w:t>立柜式、节能静音。</w:t>
            </w:r>
          </w:p>
          <w:p>
            <w:pPr>
              <w:jc w:val="left"/>
              <w:rPr>
                <w:rFonts w:ascii="华文宋体" w:hAnsi="华文宋体" w:eastAsia="华文宋体"/>
                <w:sz w:val="22"/>
                <w:szCs w:val="22"/>
              </w:rPr>
            </w:pPr>
            <w:r>
              <w:rPr>
                <w:rFonts w:hint="eastAsia" w:ascii="华文宋体" w:hAnsi="华文宋体" w:eastAsia="华文宋体"/>
                <w:sz w:val="22"/>
                <w:szCs w:val="22"/>
              </w:rPr>
              <w:t>包括空调主机、挂机、线材等；</w:t>
            </w:r>
          </w:p>
          <w:p>
            <w:pPr>
              <w:jc w:val="left"/>
              <w:rPr>
                <w:rFonts w:ascii="华文宋体" w:hAnsi="华文宋体" w:eastAsia="华文宋体"/>
                <w:sz w:val="22"/>
                <w:szCs w:val="22"/>
              </w:rPr>
            </w:pPr>
            <w:r>
              <w:rPr>
                <w:rFonts w:hint="eastAsia" w:ascii="华文宋体" w:hAnsi="华文宋体" w:eastAsia="华文宋体"/>
                <w:sz w:val="22"/>
                <w:szCs w:val="22"/>
              </w:rPr>
              <w:t>含设备安装、调试。</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台</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r>
              <w:rPr>
                <w:rFonts w:ascii="华文宋体" w:hAnsi="华文宋体" w:eastAsia="华文宋体" w:cs="宋体"/>
                <w:color w:val="000000"/>
                <w:kern w:val="0"/>
                <w:sz w:val="22"/>
                <w:szCs w:val="22"/>
              </w:rPr>
              <w:t>3</w:t>
            </w:r>
          </w:p>
        </w:tc>
        <w:tc>
          <w:tcPr>
            <w:tcW w:w="791"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sz w:val="22"/>
                <w:szCs w:val="22"/>
              </w:rPr>
              <w:t>电源及网络布线</w:t>
            </w:r>
          </w:p>
        </w:tc>
        <w:tc>
          <w:tcPr>
            <w:tcW w:w="5361" w:type="dxa"/>
            <w:shd w:val="clear" w:color="auto" w:fill="auto"/>
            <w:noWrap w:val="0"/>
            <w:vAlign w:val="top"/>
          </w:tcPr>
          <w:p>
            <w:pPr>
              <w:rPr>
                <w:rFonts w:ascii="华文宋体" w:hAnsi="华文宋体" w:eastAsia="华文宋体"/>
                <w:sz w:val="22"/>
                <w:szCs w:val="22"/>
              </w:rPr>
            </w:pPr>
            <w:r>
              <w:rPr>
                <w:rFonts w:hint="eastAsia" w:ascii="华文宋体" w:hAnsi="华文宋体" w:eastAsia="华文宋体"/>
                <w:sz w:val="22"/>
                <w:szCs w:val="22"/>
              </w:rPr>
              <w:t>单台算力单元4kW功率， 4台算力单元，用3路6平方国标的220V电源线，每路能负载32A（6KW）。各路分开关是32A/2P，上一级总开关是63A/3P或80A/3P，380V三厢电。</w:t>
            </w:r>
          </w:p>
          <w:p>
            <w:pPr>
              <w:jc w:val="left"/>
              <w:rPr>
                <w:rFonts w:ascii="华文宋体" w:hAnsi="华文宋体" w:eastAsia="华文宋体"/>
                <w:sz w:val="22"/>
                <w:szCs w:val="22"/>
              </w:rPr>
            </w:pPr>
            <w:r>
              <w:rPr>
                <w:rFonts w:hint="eastAsia" w:ascii="华文宋体" w:hAnsi="华文宋体" w:eastAsia="华文宋体"/>
                <w:sz w:val="22"/>
                <w:szCs w:val="22"/>
              </w:rPr>
              <w:t>音频线缆、网络水晶头、网线线缆、电源线等。</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套</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398"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1</w:t>
            </w:r>
            <w:r>
              <w:rPr>
                <w:rFonts w:ascii="华文宋体" w:hAnsi="华文宋体" w:eastAsia="华文宋体" w:cs="宋体"/>
                <w:color w:val="000000"/>
                <w:kern w:val="0"/>
                <w:sz w:val="22"/>
                <w:szCs w:val="22"/>
              </w:rPr>
              <w:t>4</w:t>
            </w:r>
          </w:p>
        </w:tc>
        <w:tc>
          <w:tcPr>
            <w:tcW w:w="791" w:type="dxa"/>
            <w:shd w:val="clear" w:color="auto" w:fill="auto"/>
            <w:noWrap w:val="0"/>
            <w:vAlign w:val="center"/>
          </w:tcPr>
          <w:p>
            <w:pPr>
              <w:widowControl/>
              <w:rPr>
                <w:rFonts w:ascii="华文宋体" w:hAnsi="华文宋体" w:eastAsia="华文宋体"/>
                <w:sz w:val="22"/>
                <w:szCs w:val="22"/>
              </w:rPr>
            </w:pPr>
            <w:r>
              <w:rPr>
                <w:rFonts w:hint="eastAsia" w:ascii="华文宋体" w:hAnsi="华文宋体" w:eastAsia="华文宋体"/>
                <w:sz w:val="22"/>
                <w:szCs w:val="22"/>
              </w:rPr>
              <w:t>配套增值服务</w:t>
            </w:r>
          </w:p>
        </w:tc>
        <w:tc>
          <w:tcPr>
            <w:tcW w:w="5361" w:type="dxa"/>
            <w:shd w:val="clear" w:color="auto" w:fill="auto"/>
            <w:noWrap w:val="0"/>
            <w:vAlign w:val="top"/>
          </w:tcPr>
          <w:p>
            <w:pPr>
              <w:rPr>
                <w:rFonts w:ascii="华文宋体" w:hAnsi="华文宋体" w:eastAsia="华文宋体"/>
                <w:sz w:val="22"/>
                <w:szCs w:val="22"/>
              </w:rPr>
            </w:pPr>
            <w:r>
              <w:rPr>
                <w:rFonts w:hint="eastAsia" w:ascii="华文宋体" w:hAnsi="华文宋体" w:eastAsia="华文宋体"/>
                <w:sz w:val="22"/>
                <w:szCs w:val="22"/>
              </w:rPr>
              <w:t>提供AI实训环境培训、提供现场实施服务、提供AI实验平台培训</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天</w:t>
            </w:r>
          </w:p>
        </w:tc>
        <w:tc>
          <w:tcPr>
            <w:tcW w:w="567" w:type="dxa"/>
            <w:shd w:val="clear" w:color="auto" w:fill="auto"/>
            <w:noWrap w:val="0"/>
            <w:vAlign w:val="center"/>
          </w:tcPr>
          <w:p>
            <w:pPr>
              <w:widowControl/>
              <w:jc w:val="center"/>
              <w:rPr>
                <w:rFonts w:ascii="华文宋体" w:hAnsi="华文宋体" w:eastAsia="华文宋体" w:cs="宋体"/>
                <w:color w:val="000000"/>
                <w:kern w:val="0"/>
                <w:sz w:val="22"/>
                <w:szCs w:val="22"/>
              </w:rPr>
            </w:pPr>
            <w:r>
              <w:rPr>
                <w:rFonts w:hint="eastAsia" w:ascii="华文宋体" w:hAnsi="华文宋体" w:eastAsia="华文宋体" w:cs="宋体"/>
                <w:color w:val="000000"/>
                <w:kern w:val="0"/>
                <w:sz w:val="22"/>
                <w:szCs w:val="22"/>
              </w:rPr>
              <w:t>7</w:t>
            </w:r>
          </w:p>
        </w:tc>
        <w:tc>
          <w:tcPr>
            <w:tcW w:w="850" w:type="dxa"/>
            <w:shd w:val="clear" w:color="auto" w:fill="auto"/>
            <w:noWrap w:val="0"/>
            <w:vAlign w:val="center"/>
          </w:tcPr>
          <w:p>
            <w:pPr>
              <w:widowControl/>
              <w:jc w:val="center"/>
              <w:rPr>
                <w:rFonts w:ascii="华文宋体" w:hAnsi="华文宋体" w:eastAsia="华文宋体" w:cs="宋体"/>
                <w:color w:val="000000"/>
                <w:kern w:val="0"/>
                <w:sz w:val="22"/>
                <w:szCs w:val="22"/>
              </w:rPr>
            </w:pPr>
          </w:p>
        </w:tc>
      </w:tr>
    </w:tbl>
    <w:p>
      <w:pPr>
        <w:pStyle w:val="8"/>
        <w:spacing w:line="360" w:lineRule="auto"/>
        <w:ind w:firstLine="480"/>
        <w:rPr>
          <w:rFonts w:ascii="华文宋体" w:hAnsi="华文宋体" w:eastAsia="华文宋体"/>
          <w:bCs/>
          <w:sz w:val="24"/>
          <w:szCs w:val="24"/>
        </w:rPr>
      </w:pPr>
      <w:r>
        <w:rPr>
          <w:rFonts w:hint="eastAsia" w:ascii="华文宋体" w:hAnsi="华文宋体" w:eastAsia="华文宋体"/>
          <w:bCs/>
          <w:sz w:val="24"/>
          <w:szCs w:val="24"/>
        </w:rPr>
        <w:t>（二）其他要求</w:t>
      </w:r>
    </w:p>
    <w:p>
      <w:pPr>
        <w:pStyle w:val="8"/>
        <w:spacing w:line="360" w:lineRule="auto"/>
        <w:ind w:firstLine="480" w:firstLineChars="0"/>
        <w:rPr>
          <w:rFonts w:hint="eastAsia" w:ascii="华文宋体" w:hAnsi="华文宋体" w:eastAsia="华文宋体"/>
          <w:bCs/>
          <w:sz w:val="24"/>
          <w:szCs w:val="24"/>
        </w:rPr>
      </w:pPr>
      <w:r>
        <w:rPr>
          <w:rFonts w:hint="eastAsia" w:ascii="华文宋体" w:hAnsi="华文宋体" w:eastAsia="华文宋体"/>
          <w:bCs/>
          <w:sz w:val="24"/>
          <w:szCs w:val="24"/>
          <w:lang w:val="en-US" w:eastAsia="zh-CN"/>
        </w:rPr>
        <w:t>1、</w:t>
      </w:r>
      <w:r>
        <w:rPr>
          <w:rFonts w:hint="eastAsia" w:ascii="华文宋体" w:hAnsi="华文宋体" w:eastAsia="华文宋体"/>
          <w:bCs/>
          <w:sz w:val="24"/>
          <w:szCs w:val="24"/>
        </w:rPr>
        <w:t>从系统验收合格之日起，在质量保证期内，乙方应提供技术服务、升级服务并负责对运行中出现的硬件、软件故障进行处理，根据实际情况派员负责查找故障原因并将系统恢复到正常运行状态。硬件（算力单元、算力传输模块、边缘计算终端）质保三年，提供5*8服务；软件（人工智能实验平台）质保1年，提供5*8服务。</w:t>
      </w:r>
    </w:p>
    <w:p>
      <w:pPr>
        <w:pStyle w:val="8"/>
        <w:spacing w:line="360" w:lineRule="auto"/>
        <w:ind w:firstLine="480" w:firstLineChars="0"/>
        <w:rPr>
          <w:rFonts w:hint="eastAsia" w:ascii="华文宋体" w:hAnsi="华文宋体" w:eastAsia="华文宋体"/>
          <w:bCs/>
          <w:sz w:val="24"/>
          <w:szCs w:val="24"/>
        </w:rPr>
      </w:pPr>
      <w:r>
        <w:rPr>
          <w:rFonts w:hint="eastAsia" w:ascii="华文宋体" w:hAnsi="华文宋体" w:eastAsia="华文宋体"/>
          <w:bCs/>
          <w:sz w:val="24"/>
          <w:szCs w:val="24"/>
          <w:lang w:val="en-US" w:eastAsia="zh-CN"/>
        </w:rPr>
        <w:t>2、</w:t>
      </w:r>
      <w:r>
        <w:rPr>
          <w:rFonts w:hint="eastAsia" w:ascii="华文宋体" w:hAnsi="华文宋体" w:eastAsia="华文宋体"/>
          <w:bCs/>
          <w:sz w:val="24"/>
          <w:szCs w:val="24"/>
        </w:rPr>
        <w:t>培训：</w:t>
      </w:r>
      <w:r>
        <w:rPr>
          <w:rFonts w:hint="eastAsia" w:ascii="华文宋体" w:hAnsi="华文宋体" w:eastAsia="华文宋体"/>
          <w:bCs/>
          <w:sz w:val="24"/>
          <w:szCs w:val="24"/>
          <w:lang w:val="en-US" w:eastAsia="zh-CN"/>
        </w:rPr>
        <w:t>系统上线后</w:t>
      </w:r>
      <w:r>
        <w:rPr>
          <w:rFonts w:hint="eastAsia" w:ascii="华文宋体" w:hAnsi="华文宋体" w:eastAsia="华文宋体"/>
          <w:bCs/>
          <w:sz w:val="24"/>
          <w:szCs w:val="24"/>
        </w:rPr>
        <w:t>提供人工智能实训环境培训（5人天）、</w:t>
      </w:r>
      <w:r>
        <w:rPr>
          <w:rFonts w:hint="eastAsia" w:ascii="华文宋体" w:hAnsi="华文宋体" w:eastAsia="华文宋体"/>
          <w:bCs/>
          <w:sz w:val="24"/>
          <w:szCs w:val="24"/>
          <w:lang w:val="en-US" w:eastAsia="zh-CN"/>
        </w:rPr>
        <w:t>验收通过后提供</w:t>
      </w:r>
      <w:r>
        <w:rPr>
          <w:rFonts w:hint="eastAsia" w:ascii="华文宋体" w:hAnsi="华文宋体" w:eastAsia="华文宋体"/>
          <w:bCs/>
          <w:sz w:val="24"/>
          <w:szCs w:val="24"/>
        </w:rPr>
        <w:t>师资培训（3人天）服务。</w:t>
      </w:r>
    </w:p>
    <w:p>
      <w:pPr>
        <w:pStyle w:val="8"/>
        <w:spacing w:line="360" w:lineRule="auto"/>
        <w:ind w:firstLine="480" w:firstLineChars="0"/>
        <w:rPr>
          <w:rFonts w:ascii="华文宋体" w:hAnsi="华文宋体" w:eastAsia="华文宋体"/>
          <w:b/>
          <w:sz w:val="24"/>
          <w:szCs w:val="24"/>
        </w:rPr>
      </w:pPr>
      <w:r>
        <w:rPr>
          <w:rFonts w:hint="eastAsia" w:ascii="华文宋体" w:hAnsi="华文宋体" w:eastAsia="华文宋体"/>
          <w:b/>
          <w:sz w:val="24"/>
          <w:szCs w:val="24"/>
        </w:rPr>
        <w:t>四、服务需求</w:t>
      </w:r>
    </w:p>
    <w:p>
      <w:pPr>
        <w:pStyle w:val="8"/>
        <w:spacing w:line="360" w:lineRule="auto"/>
        <w:ind w:firstLine="0" w:firstLineChars="0"/>
        <w:jc w:val="left"/>
        <w:rPr>
          <w:rFonts w:ascii="华文宋体" w:hAnsi="华文宋体" w:eastAsia="华文宋体"/>
        </w:rPr>
      </w:pPr>
      <w:r>
        <w:rPr>
          <w:rFonts w:hint="eastAsia" w:ascii="华文宋体" w:hAnsi="华文宋体" w:eastAsia="华文宋体"/>
          <w:bCs/>
          <w:sz w:val="24"/>
          <w:szCs w:val="24"/>
        </w:rPr>
        <w:t xml:space="preserve"> </w:t>
      </w:r>
      <w:r>
        <w:rPr>
          <w:rFonts w:ascii="华文宋体" w:hAnsi="华文宋体" w:eastAsia="华文宋体"/>
        </w:rPr>
        <w:t>（一）乙方交付的产品质量保证期为1年，自该产品经甲方验收合格签字之日起算。</w:t>
      </w:r>
    </w:p>
    <w:p>
      <w:pPr>
        <w:spacing w:before="156" w:beforeLines="50" w:after="156" w:afterLines="50" w:line="400" w:lineRule="exact"/>
        <w:rPr>
          <w:rFonts w:ascii="华文宋体" w:hAnsi="华文宋体" w:eastAsia="华文宋体"/>
          <w:bCs/>
          <w:sz w:val="24"/>
        </w:rPr>
      </w:pPr>
      <w:r>
        <w:rPr>
          <w:rFonts w:ascii="华文宋体" w:hAnsi="华文宋体" w:eastAsia="华文宋体"/>
        </w:rPr>
        <w:t>（二）自质量保证期到期之日起，由供应商提供不少于</w:t>
      </w:r>
      <w:r>
        <w:rPr>
          <w:rFonts w:hint="eastAsia" w:ascii="华文宋体" w:hAnsi="华文宋体" w:eastAsia="华文宋体"/>
        </w:rPr>
        <w:t>3</w:t>
      </w:r>
      <w:r>
        <w:rPr>
          <w:rFonts w:ascii="华文宋体" w:hAnsi="华文宋体" w:eastAsia="华文宋体"/>
        </w:rPr>
        <w:t>年免费保修服务（另有特别说明的，按其要求执行）。免费保修期届满后，如甲方需要乙方继续提供维护服务，由甲乙双方另行协商。</w:t>
      </w:r>
    </w:p>
    <w:p>
      <w:pPr>
        <w:pStyle w:val="8"/>
        <w:spacing w:line="360" w:lineRule="auto"/>
        <w:ind w:firstLine="0" w:firstLineChars="0"/>
        <w:rPr>
          <w:rFonts w:ascii="华文宋体" w:hAnsi="华文宋体" w:eastAsia="华文宋体"/>
          <w:bCs/>
          <w:color w:val="0070C0"/>
          <w:sz w:val="24"/>
          <w:szCs w:val="24"/>
        </w:rPr>
      </w:pPr>
      <w:r>
        <w:rPr>
          <w:rFonts w:hint="eastAsia" w:ascii="华文宋体" w:hAnsi="华文宋体" w:eastAsia="华文宋体"/>
          <w:bCs/>
          <w:sz w:val="24"/>
          <w:szCs w:val="24"/>
        </w:rPr>
        <w:t xml:space="preserve">                                                 </w:t>
      </w:r>
    </w:p>
    <w:p>
      <w:pPr>
        <w:pStyle w:val="8"/>
        <w:spacing w:line="360" w:lineRule="auto"/>
        <w:ind w:firstLine="0" w:firstLineChars="0"/>
        <w:rPr>
          <w:rFonts w:hint="eastAsia" w:ascii="华文宋体" w:hAnsi="华文宋体" w:eastAsia="华文宋体"/>
          <w:bCs/>
          <w:color w:val="0070C0"/>
          <w:sz w:val="24"/>
          <w:szCs w:val="24"/>
        </w:rPr>
      </w:pPr>
      <w:r>
        <w:rPr>
          <w:rFonts w:hint="eastAsia" w:ascii="华文宋体" w:hAnsi="华文宋体" w:eastAsia="华文宋体"/>
          <w:bCs/>
          <w:color w:val="0070C0"/>
          <w:sz w:val="24"/>
          <w:szCs w:val="24"/>
        </w:rPr>
        <w:t xml:space="preserve">                               </w:t>
      </w:r>
    </w:p>
    <w:p>
      <w:pPr>
        <w:pStyle w:val="8"/>
        <w:spacing w:line="360" w:lineRule="auto"/>
        <w:ind w:firstLine="0" w:firstLineChars="0"/>
        <w:jc w:val="right"/>
        <w:rPr>
          <w:rFonts w:ascii="华文宋体" w:hAnsi="华文宋体" w:eastAsia="华文宋体"/>
          <w:bCs/>
          <w:sz w:val="24"/>
          <w:szCs w:val="24"/>
        </w:rPr>
      </w:pPr>
      <w:r>
        <w:rPr>
          <w:rFonts w:hint="eastAsia" w:ascii="华文宋体" w:hAnsi="华文宋体" w:eastAsia="华文宋体"/>
          <w:bCs/>
          <w:color w:val="0000FF"/>
          <w:sz w:val="24"/>
          <w:szCs w:val="24"/>
        </w:rPr>
        <w:t>中山大学南方学院电气与计算机工程学院</w:t>
      </w:r>
    </w:p>
    <w:p>
      <w:pPr>
        <w:pStyle w:val="8"/>
        <w:spacing w:line="360" w:lineRule="auto"/>
        <w:ind w:firstLine="0" w:firstLineChars="0"/>
        <w:rPr>
          <w:rFonts w:ascii="华文宋体" w:hAnsi="华文宋体" w:eastAsia="华文宋体"/>
          <w:bCs/>
          <w:sz w:val="24"/>
          <w:szCs w:val="24"/>
        </w:rPr>
      </w:pPr>
      <w:r>
        <w:rPr>
          <w:rFonts w:hint="eastAsia" w:ascii="华文宋体" w:hAnsi="华文宋体" w:eastAsia="华文宋体"/>
          <w:bCs/>
          <w:sz w:val="24"/>
          <w:szCs w:val="24"/>
        </w:rPr>
        <w:t xml:space="preserve">                                                    2021年1月6日</w:t>
      </w:r>
    </w:p>
    <w:p>
      <w:pPr>
        <w:pStyle w:val="8"/>
        <w:spacing w:line="360" w:lineRule="auto"/>
        <w:ind w:firstLine="0" w:firstLineChars="0"/>
        <w:rPr>
          <w:rFonts w:ascii="华文宋体" w:hAnsi="华文宋体" w:eastAsia="华文宋体"/>
          <w:bCs/>
          <w:sz w:val="24"/>
          <w:szCs w:val="24"/>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Lantinghei TC Heavy">
    <w:altName w:val="Segoe Print"/>
    <w:panose1 w:val="00000000000000000000"/>
    <w:charset w:val="00"/>
    <w:family w:val="auto"/>
    <w:pitch w:val="default"/>
    <w:sig w:usb0="00000000" w:usb1="00000000" w:usb2="00000000" w:usb3="00000000" w:csb0="00100001" w:csb1="00000000"/>
  </w:font>
  <w:font w:name="Libian SC Regular">
    <w:altName w:val="HP Simplified Hans"/>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HP Simplified Hans">
    <w:panose1 w:val="020B0500000000000000"/>
    <w:charset w:val="86"/>
    <w:family w:val="auto"/>
    <w:pitch w:val="default"/>
    <w:sig w:usb0="A00002BF" w:usb1="38CF7CFA" w:usb2="00000016" w:usb3="00000000" w:csb0="2004011D"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E6"/>
    <w:rsid w:val="00000527"/>
    <w:rsid w:val="0000715F"/>
    <w:rsid w:val="00016998"/>
    <w:rsid w:val="0002623F"/>
    <w:rsid w:val="00026A99"/>
    <w:rsid w:val="00032879"/>
    <w:rsid w:val="00033F97"/>
    <w:rsid w:val="00046AAF"/>
    <w:rsid w:val="0005351B"/>
    <w:rsid w:val="000673E7"/>
    <w:rsid w:val="00076071"/>
    <w:rsid w:val="000A2AD2"/>
    <w:rsid w:val="000B1566"/>
    <w:rsid w:val="000C4ED0"/>
    <w:rsid w:val="000C6801"/>
    <w:rsid w:val="000D6C70"/>
    <w:rsid w:val="000E0BB2"/>
    <w:rsid w:val="000E2E33"/>
    <w:rsid w:val="000F05B1"/>
    <w:rsid w:val="000F22F6"/>
    <w:rsid w:val="000F51E0"/>
    <w:rsid w:val="00123B1D"/>
    <w:rsid w:val="00125062"/>
    <w:rsid w:val="0012726C"/>
    <w:rsid w:val="00141993"/>
    <w:rsid w:val="0015702E"/>
    <w:rsid w:val="001650AC"/>
    <w:rsid w:val="001706D6"/>
    <w:rsid w:val="00175CF3"/>
    <w:rsid w:val="001B4496"/>
    <w:rsid w:val="001B6F4E"/>
    <w:rsid w:val="001C27E7"/>
    <w:rsid w:val="001E657C"/>
    <w:rsid w:val="001E6FAC"/>
    <w:rsid w:val="001F5310"/>
    <w:rsid w:val="00215005"/>
    <w:rsid w:val="00233642"/>
    <w:rsid w:val="00236EB5"/>
    <w:rsid w:val="00257EAE"/>
    <w:rsid w:val="00272425"/>
    <w:rsid w:val="002761B0"/>
    <w:rsid w:val="00276ADA"/>
    <w:rsid w:val="0028517F"/>
    <w:rsid w:val="002B27B5"/>
    <w:rsid w:val="002C052E"/>
    <w:rsid w:val="002C1E83"/>
    <w:rsid w:val="002D003F"/>
    <w:rsid w:val="002D0901"/>
    <w:rsid w:val="002F21EC"/>
    <w:rsid w:val="00323C9F"/>
    <w:rsid w:val="00333AE9"/>
    <w:rsid w:val="0033463D"/>
    <w:rsid w:val="00340275"/>
    <w:rsid w:val="00354720"/>
    <w:rsid w:val="00396FCA"/>
    <w:rsid w:val="003D0713"/>
    <w:rsid w:val="003D63BC"/>
    <w:rsid w:val="003D7491"/>
    <w:rsid w:val="003F13DF"/>
    <w:rsid w:val="003F547D"/>
    <w:rsid w:val="00405225"/>
    <w:rsid w:val="00424D45"/>
    <w:rsid w:val="00451B78"/>
    <w:rsid w:val="00456691"/>
    <w:rsid w:val="004720DE"/>
    <w:rsid w:val="00474BD0"/>
    <w:rsid w:val="00480EEC"/>
    <w:rsid w:val="004C170B"/>
    <w:rsid w:val="004C662B"/>
    <w:rsid w:val="004D57D1"/>
    <w:rsid w:val="004D7BA2"/>
    <w:rsid w:val="004E28BA"/>
    <w:rsid w:val="004E61B7"/>
    <w:rsid w:val="00501A64"/>
    <w:rsid w:val="00525869"/>
    <w:rsid w:val="005363C2"/>
    <w:rsid w:val="005366AB"/>
    <w:rsid w:val="005415EF"/>
    <w:rsid w:val="00544A55"/>
    <w:rsid w:val="005565CF"/>
    <w:rsid w:val="00567912"/>
    <w:rsid w:val="00572DAB"/>
    <w:rsid w:val="00575D1B"/>
    <w:rsid w:val="00577815"/>
    <w:rsid w:val="00585307"/>
    <w:rsid w:val="00593CA8"/>
    <w:rsid w:val="005A42CA"/>
    <w:rsid w:val="005B1307"/>
    <w:rsid w:val="005C688E"/>
    <w:rsid w:val="005F5DE3"/>
    <w:rsid w:val="0060562A"/>
    <w:rsid w:val="006106F6"/>
    <w:rsid w:val="00623F95"/>
    <w:rsid w:val="006257C6"/>
    <w:rsid w:val="00631CBB"/>
    <w:rsid w:val="00656D34"/>
    <w:rsid w:val="00675912"/>
    <w:rsid w:val="0067695C"/>
    <w:rsid w:val="0068028A"/>
    <w:rsid w:val="00682DD4"/>
    <w:rsid w:val="00682EE2"/>
    <w:rsid w:val="00691F7B"/>
    <w:rsid w:val="00697035"/>
    <w:rsid w:val="006A1486"/>
    <w:rsid w:val="006B18E3"/>
    <w:rsid w:val="006B7638"/>
    <w:rsid w:val="006C3725"/>
    <w:rsid w:val="006C4F90"/>
    <w:rsid w:val="006D6612"/>
    <w:rsid w:val="006D6E2E"/>
    <w:rsid w:val="006E7051"/>
    <w:rsid w:val="006F455B"/>
    <w:rsid w:val="00700EFB"/>
    <w:rsid w:val="00705D95"/>
    <w:rsid w:val="00714535"/>
    <w:rsid w:val="00742FCF"/>
    <w:rsid w:val="00751955"/>
    <w:rsid w:val="00761B2F"/>
    <w:rsid w:val="00776C99"/>
    <w:rsid w:val="007820CC"/>
    <w:rsid w:val="007A1E58"/>
    <w:rsid w:val="007A2380"/>
    <w:rsid w:val="007B0BFD"/>
    <w:rsid w:val="007B1F2D"/>
    <w:rsid w:val="007B7BED"/>
    <w:rsid w:val="007C5435"/>
    <w:rsid w:val="007D071D"/>
    <w:rsid w:val="007D4C2A"/>
    <w:rsid w:val="007E67CF"/>
    <w:rsid w:val="00820831"/>
    <w:rsid w:val="008227A4"/>
    <w:rsid w:val="0082607D"/>
    <w:rsid w:val="00830F69"/>
    <w:rsid w:val="00833155"/>
    <w:rsid w:val="00862DFD"/>
    <w:rsid w:val="00864C97"/>
    <w:rsid w:val="008715D7"/>
    <w:rsid w:val="008818E5"/>
    <w:rsid w:val="008851BE"/>
    <w:rsid w:val="008872C8"/>
    <w:rsid w:val="00891F3B"/>
    <w:rsid w:val="00893BDA"/>
    <w:rsid w:val="008B022D"/>
    <w:rsid w:val="008B1912"/>
    <w:rsid w:val="008B534C"/>
    <w:rsid w:val="008B6531"/>
    <w:rsid w:val="008C212D"/>
    <w:rsid w:val="008C2D9D"/>
    <w:rsid w:val="008E12A7"/>
    <w:rsid w:val="0092546C"/>
    <w:rsid w:val="00936366"/>
    <w:rsid w:val="0094156B"/>
    <w:rsid w:val="009439AC"/>
    <w:rsid w:val="009558C3"/>
    <w:rsid w:val="00955C0C"/>
    <w:rsid w:val="00960148"/>
    <w:rsid w:val="009628EA"/>
    <w:rsid w:val="00965A12"/>
    <w:rsid w:val="009664B9"/>
    <w:rsid w:val="0097118F"/>
    <w:rsid w:val="009800FB"/>
    <w:rsid w:val="009827F3"/>
    <w:rsid w:val="00982C3F"/>
    <w:rsid w:val="00983410"/>
    <w:rsid w:val="00993FF4"/>
    <w:rsid w:val="009B30FF"/>
    <w:rsid w:val="009B72F2"/>
    <w:rsid w:val="009D1039"/>
    <w:rsid w:val="009E29A6"/>
    <w:rsid w:val="009E2F38"/>
    <w:rsid w:val="009F1157"/>
    <w:rsid w:val="009F1597"/>
    <w:rsid w:val="009F28E8"/>
    <w:rsid w:val="009F2CD4"/>
    <w:rsid w:val="009F5296"/>
    <w:rsid w:val="00A155E3"/>
    <w:rsid w:val="00A20F45"/>
    <w:rsid w:val="00A22A83"/>
    <w:rsid w:val="00A3401D"/>
    <w:rsid w:val="00A3498C"/>
    <w:rsid w:val="00A419B4"/>
    <w:rsid w:val="00A7058B"/>
    <w:rsid w:val="00A93FE6"/>
    <w:rsid w:val="00AA2E45"/>
    <w:rsid w:val="00AA3AF0"/>
    <w:rsid w:val="00AD7030"/>
    <w:rsid w:val="00AE530D"/>
    <w:rsid w:val="00AE779F"/>
    <w:rsid w:val="00AE7B56"/>
    <w:rsid w:val="00AF19B3"/>
    <w:rsid w:val="00AF48EC"/>
    <w:rsid w:val="00AF6B09"/>
    <w:rsid w:val="00B123F2"/>
    <w:rsid w:val="00B2371D"/>
    <w:rsid w:val="00B26CE5"/>
    <w:rsid w:val="00B442C7"/>
    <w:rsid w:val="00B63B22"/>
    <w:rsid w:val="00B87D5E"/>
    <w:rsid w:val="00B87D90"/>
    <w:rsid w:val="00B97E06"/>
    <w:rsid w:val="00BA284D"/>
    <w:rsid w:val="00BA2C53"/>
    <w:rsid w:val="00BA791C"/>
    <w:rsid w:val="00BE6325"/>
    <w:rsid w:val="00C00AA2"/>
    <w:rsid w:val="00C0132B"/>
    <w:rsid w:val="00C0706C"/>
    <w:rsid w:val="00C15A88"/>
    <w:rsid w:val="00C21588"/>
    <w:rsid w:val="00C23DE4"/>
    <w:rsid w:val="00C26F8E"/>
    <w:rsid w:val="00C572D5"/>
    <w:rsid w:val="00C955A8"/>
    <w:rsid w:val="00CC6F18"/>
    <w:rsid w:val="00CE1303"/>
    <w:rsid w:val="00CE6255"/>
    <w:rsid w:val="00CF3A24"/>
    <w:rsid w:val="00D26B0F"/>
    <w:rsid w:val="00D31689"/>
    <w:rsid w:val="00D32741"/>
    <w:rsid w:val="00D5203E"/>
    <w:rsid w:val="00D62673"/>
    <w:rsid w:val="00D647AF"/>
    <w:rsid w:val="00D65AC7"/>
    <w:rsid w:val="00D65E7E"/>
    <w:rsid w:val="00D70EF7"/>
    <w:rsid w:val="00D7175D"/>
    <w:rsid w:val="00D90587"/>
    <w:rsid w:val="00DA08F3"/>
    <w:rsid w:val="00DD1E59"/>
    <w:rsid w:val="00DD7B7C"/>
    <w:rsid w:val="00DE340B"/>
    <w:rsid w:val="00DF5547"/>
    <w:rsid w:val="00E149A2"/>
    <w:rsid w:val="00E168FF"/>
    <w:rsid w:val="00E25B07"/>
    <w:rsid w:val="00E415C6"/>
    <w:rsid w:val="00E83855"/>
    <w:rsid w:val="00E90E82"/>
    <w:rsid w:val="00E95021"/>
    <w:rsid w:val="00EB4DB7"/>
    <w:rsid w:val="00EB5BBA"/>
    <w:rsid w:val="00ED1C7A"/>
    <w:rsid w:val="00EE0651"/>
    <w:rsid w:val="00EE7E24"/>
    <w:rsid w:val="00EF50BA"/>
    <w:rsid w:val="00EF7C79"/>
    <w:rsid w:val="00F043BB"/>
    <w:rsid w:val="00F1167D"/>
    <w:rsid w:val="00F137A9"/>
    <w:rsid w:val="00F22D77"/>
    <w:rsid w:val="00F25E77"/>
    <w:rsid w:val="00F27A1D"/>
    <w:rsid w:val="00F33D66"/>
    <w:rsid w:val="00F3412D"/>
    <w:rsid w:val="00F37CFC"/>
    <w:rsid w:val="00F44AAA"/>
    <w:rsid w:val="00F617E7"/>
    <w:rsid w:val="00F65550"/>
    <w:rsid w:val="00FA218D"/>
    <w:rsid w:val="00FA61FC"/>
    <w:rsid w:val="00FD2D98"/>
    <w:rsid w:val="00FD583C"/>
    <w:rsid w:val="00FE08F4"/>
    <w:rsid w:val="029B7FB8"/>
    <w:rsid w:val="02B641A2"/>
    <w:rsid w:val="02D877C1"/>
    <w:rsid w:val="074A4009"/>
    <w:rsid w:val="095F261A"/>
    <w:rsid w:val="111D423F"/>
    <w:rsid w:val="12F860AB"/>
    <w:rsid w:val="169B56A7"/>
    <w:rsid w:val="16DF2AFF"/>
    <w:rsid w:val="1BF750E7"/>
    <w:rsid w:val="1C357149"/>
    <w:rsid w:val="1C89679F"/>
    <w:rsid w:val="1DBD3A04"/>
    <w:rsid w:val="1DFC0B54"/>
    <w:rsid w:val="25E448E8"/>
    <w:rsid w:val="25F81769"/>
    <w:rsid w:val="288A7E88"/>
    <w:rsid w:val="29991004"/>
    <w:rsid w:val="2A27106E"/>
    <w:rsid w:val="2AB04767"/>
    <w:rsid w:val="2F202EAC"/>
    <w:rsid w:val="2F84296D"/>
    <w:rsid w:val="300C16ED"/>
    <w:rsid w:val="3331200A"/>
    <w:rsid w:val="3360543D"/>
    <w:rsid w:val="35F24C4E"/>
    <w:rsid w:val="37276520"/>
    <w:rsid w:val="39291670"/>
    <w:rsid w:val="3C072276"/>
    <w:rsid w:val="407E5DA8"/>
    <w:rsid w:val="40801795"/>
    <w:rsid w:val="455530DA"/>
    <w:rsid w:val="46CC3C4A"/>
    <w:rsid w:val="48CF15CB"/>
    <w:rsid w:val="49C1076A"/>
    <w:rsid w:val="49C753E2"/>
    <w:rsid w:val="4E27649C"/>
    <w:rsid w:val="504E6708"/>
    <w:rsid w:val="50A7316D"/>
    <w:rsid w:val="530070FD"/>
    <w:rsid w:val="54B1673E"/>
    <w:rsid w:val="56D15FAD"/>
    <w:rsid w:val="58043822"/>
    <w:rsid w:val="584243BE"/>
    <w:rsid w:val="5E8B4B69"/>
    <w:rsid w:val="5EE01D45"/>
    <w:rsid w:val="61127D93"/>
    <w:rsid w:val="61C11CBB"/>
    <w:rsid w:val="62C165F8"/>
    <w:rsid w:val="64087878"/>
    <w:rsid w:val="647224B2"/>
    <w:rsid w:val="66E352D0"/>
    <w:rsid w:val="6B451E00"/>
    <w:rsid w:val="6DBA5841"/>
    <w:rsid w:val="6DE25361"/>
    <w:rsid w:val="6E3710B3"/>
    <w:rsid w:val="703679C3"/>
    <w:rsid w:val="754F334C"/>
    <w:rsid w:val="778102F9"/>
    <w:rsid w:val="7D8C5A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99"/>
    <w:rPr>
      <w:sz w:val="18"/>
      <w:szCs w:val="18"/>
    </w:rPr>
  </w:style>
  <w:style w:type="character" w:customStyle="1" w:styleId="7">
    <w:name w:val="页脚 字符"/>
    <w:link w:val="2"/>
    <w:qFormat/>
    <w:uiPriority w:val="99"/>
    <w:rPr>
      <w:sz w:val="18"/>
      <w:szCs w:val="18"/>
    </w:rPr>
  </w:style>
  <w:style w:type="paragraph" w:customStyle="1" w:styleId="8">
    <w:name w:val="列出段落1"/>
    <w:basedOn w:val="1"/>
    <w:qFormat/>
    <w:uiPriority w:val="34"/>
    <w:pPr>
      <w:ind w:firstLine="420" w:firstLineChars="200"/>
    </w:pPr>
    <w:rPr>
      <w:szCs w:val="20"/>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1073</Words>
  <Characters>6118</Characters>
  <Lines>50</Lines>
  <Paragraphs>14</Paragraphs>
  <TotalTime>0</TotalTime>
  <ScaleCrop>false</ScaleCrop>
  <LinksUpToDate>false</LinksUpToDate>
  <CharactersWithSpaces>7177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2021-01-14T13:34:00Z</dcterms:created>
  <dc:creator>W8</dc:creator>
  <cp:lastModifiedBy>Pc</cp:lastModifiedBy>
  <dcterms:modified xsi:type="dcterms:W3CDTF">2021-04-30T07:35:34Z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0E8940BE10AC4D32A0B125191ACD546C</vt:lpwstr>
  </property>
</Properties>
</file>