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广州南方学院 实验室家具 项目用户需求书</w:t>
      </w:r>
    </w:p>
    <w:p>
      <w:pPr>
        <w:pStyle w:val="8"/>
        <w:spacing w:line="360" w:lineRule="auto"/>
        <w:ind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一、采购范围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1.数量清单如下，项目预算为</w:t>
      </w:r>
      <w:r>
        <w:rPr>
          <w:rFonts w:hint="eastAsia"/>
          <w:sz w:val="24"/>
          <w:szCs w:val="32"/>
          <w:lang w:val="en-US" w:eastAsia="zh-CN"/>
        </w:rPr>
        <w:t>***</w:t>
      </w:r>
      <w:r>
        <w:rPr>
          <w:rFonts w:hint="eastAsia"/>
          <w:sz w:val="24"/>
          <w:szCs w:val="24"/>
        </w:rPr>
        <w:t>万元</w:t>
      </w:r>
    </w:p>
    <w:tbl>
      <w:tblPr>
        <w:tblStyle w:val="4"/>
        <w:tblW w:w="741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4939"/>
        <w:gridCol w:w="819"/>
        <w:gridCol w:w="8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tblHeader/>
          <w:jc w:val="center"/>
        </w:trPr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4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设备名称</w:t>
            </w:r>
          </w:p>
        </w:tc>
        <w:tc>
          <w:tcPr>
            <w:tcW w:w="8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数量</w:t>
            </w:r>
          </w:p>
        </w:tc>
        <w:tc>
          <w:tcPr>
            <w:tcW w:w="8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桌椅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椅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60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多层板衣帽柜①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多层板衣帽柜②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樱桃木原木柜子①（201课室、203课室）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樱桃木原木柜子②（201课室、203课室）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7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樱桃木原木柜子③（201课室、203课室）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多层板柜子①（111课室）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9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多层板柜子②（111课室）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  <w:r>
              <w:rPr>
                <w:rFonts w:ascii="宋体" w:hAnsi="宋体" w:cs="宋体"/>
                <w:kern w:val="0"/>
                <w:sz w:val="24"/>
              </w:rPr>
              <w:t>0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多层板柜子③（</w:t>
            </w:r>
            <w:r>
              <w:rPr>
                <w:rFonts w:ascii="仿宋" w:hAnsi="仿宋" w:eastAsia="仿宋"/>
                <w:sz w:val="20"/>
                <w:szCs w:val="20"/>
              </w:rPr>
              <w:t>223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课室）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11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讲台高脚凳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13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12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落地镜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27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面</w:t>
            </w:r>
          </w:p>
        </w:tc>
      </w:tr>
    </w:tbl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.供应商需完成如下事项：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供应商报价需包括设备及相关附件的采购、试验、包装、送货、安装、验收、培训、税费、技术服务（包括技术资料的提供）、保修期保障、其它费用等一切支出。</w:t>
      </w:r>
    </w:p>
    <w:p>
      <w:pPr>
        <w:pStyle w:val="8"/>
        <w:spacing w:line="360" w:lineRule="auto"/>
        <w:ind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二、商务需求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1.对供应商的资格要求：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对供应商的资格要求：具备独立法人资格；具有履行合同所必须的设备和专业技术能力；</w:t>
      </w:r>
      <w:r>
        <w:rPr>
          <w:sz w:val="24"/>
          <w:szCs w:val="24"/>
        </w:rPr>
        <w:t xml:space="preserve"> 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    2.投标人管理体系：投标人是通过IS09001质量管理体系认证，ISO14001环境质量体系认证</w:t>
      </w:r>
      <w:r>
        <w:rPr>
          <w:rFonts w:hint="eastAsia"/>
          <w:sz w:val="24"/>
          <w:szCs w:val="24"/>
        </w:rPr>
        <w:t>及ISO45001职业健康及安全管理体系认证，且所有证书在有效期内。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3.投标人需提供所投设备制造商针对本项目的授权文件原件。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4.包装要求：内用防磨泡沫，外用硬纸，按类型堆放。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5.运输要求：采用全国性专业货运公司或铁路运输部门承运，能确保产品安全，准时到达目的地。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6.安装要求：安装人员必须是经过专业培训的专业人员，安装技术及操作过程符合行业安全规范，安装过程将严格按照规范的程序实施，确保安装货物和周边设施的安全。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7.合同签字生效后，以甲方发出书面通知之日起，</w:t>
      </w:r>
      <w:r>
        <w:rPr>
          <w:sz w:val="24"/>
          <w:szCs w:val="24"/>
        </w:rPr>
        <w:t>60</w:t>
      </w:r>
      <w:r>
        <w:rPr>
          <w:rFonts w:hint="eastAsia"/>
          <w:sz w:val="24"/>
          <w:szCs w:val="24"/>
        </w:rPr>
        <w:t>个日历天内将货物运达目的地并安装完毕。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8.付款方式：</w:t>
      </w:r>
    </w:p>
    <w:p>
      <w:pPr>
        <w:pStyle w:val="8"/>
        <w:spacing w:line="360" w:lineRule="auto"/>
        <w:ind w:firstLine="24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（1）签订合同后，甲方预付乙方5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%货款，工程安装完工后，甲乙双方办理正式竣工验收及结算手续后，甲方于30个工作日内支付结算45%货款。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（2）余款5%作为质量保证金，甲方在1年产品质量保证期满后30个工作日内无息向乙方结清余下货款。</w:t>
      </w:r>
    </w:p>
    <w:p>
      <w:pPr>
        <w:pStyle w:val="8"/>
        <w:spacing w:line="360" w:lineRule="auto"/>
        <w:ind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三、技术参</w:t>
      </w:r>
      <w:r>
        <w:rPr>
          <w:b/>
          <w:sz w:val="24"/>
          <w:szCs w:val="24"/>
        </w:rPr>
        <w:t>数及要求</w:t>
      </w:r>
    </w:p>
    <w:p>
      <w:pPr>
        <w:pStyle w:val="8"/>
        <w:spacing w:line="360" w:lineRule="auto"/>
        <w:ind w:firstLine="48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（一）技术参数要求：</w:t>
      </w:r>
    </w:p>
    <w:tbl>
      <w:tblPr>
        <w:tblStyle w:val="4"/>
        <w:tblW w:w="936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1787"/>
        <w:gridCol w:w="5265"/>
        <w:gridCol w:w="960"/>
        <w:gridCol w:w="9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tblHeader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7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设备名称</w:t>
            </w:r>
          </w:p>
        </w:tc>
        <w:tc>
          <w:tcPr>
            <w:tcW w:w="5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基本性能要求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数量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1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桌椅</w:t>
            </w:r>
          </w:p>
        </w:tc>
        <w:tc>
          <w:tcPr>
            <w:tcW w:w="5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1</w:t>
            </w:r>
            <w:r>
              <w:rPr>
                <w:rFonts w:ascii="仿宋" w:hAnsi="仿宋" w:eastAsia="仿宋"/>
                <w:sz w:val="20"/>
                <w:szCs w:val="20"/>
              </w:rPr>
              <w:t>8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0</w:t>
            </w:r>
            <w:r>
              <w:rPr>
                <w:rFonts w:ascii="仿宋" w:hAnsi="仿宋" w:eastAsia="仿宋"/>
                <w:sz w:val="20"/>
                <w:szCs w:val="20"/>
              </w:rPr>
              <w:t>0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*</w:t>
            </w:r>
            <w:r>
              <w:rPr>
                <w:rFonts w:ascii="仿宋" w:hAnsi="仿宋" w:eastAsia="仿宋"/>
                <w:sz w:val="20"/>
                <w:szCs w:val="20"/>
              </w:rPr>
              <w:t>1000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*</w:t>
            </w:r>
            <w:r>
              <w:rPr>
                <w:rFonts w:ascii="仿宋" w:hAnsi="仿宋" w:eastAsia="仿宋"/>
                <w:sz w:val="20"/>
                <w:szCs w:val="20"/>
              </w:rPr>
              <w:t>800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H，榆木实木，配套官帽椅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1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椅</w:t>
            </w:r>
          </w:p>
        </w:tc>
        <w:tc>
          <w:tcPr>
            <w:tcW w:w="5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可叠放，黑色，靠背折叠椅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</w:t>
            </w:r>
          </w:p>
        </w:tc>
        <w:tc>
          <w:tcPr>
            <w:tcW w:w="1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多层板衣帽柜①</w:t>
            </w:r>
          </w:p>
        </w:tc>
        <w:tc>
          <w:tcPr>
            <w:tcW w:w="5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木质结构，多层板，饰面颜色：金橡木，材料厚度要求：顶板跟层板厚度25厘，其余为18厘。</w:t>
            </w:r>
          </w:p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上层为置物格，下层为衣帽柜。</w:t>
            </w:r>
          </w:p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参考尺寸：4100W*600D*2400H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</w:t>
            </w:r>
          </w:p>
        </w:tc>
        <w:tc>
          <w:tcPr>
            <w:tcW w:w="1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多层板衣帽柜②</w:t>
            </w:r>
          </w:p>
        </w:tc>
        <w:tc>
          <w:tcPr>
            <w:tcW w:w="5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木质结构，多层板，饰面颜色：金橡木，材料厚度要求：顶板跟层板厚度25厘，其余为18厘。</w:t>
            </w:r>
          </w:p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上层为置物格，下层为衣帽柜。</w:t>
            </w:r>
          </w:p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参考尺寸：5740W*600D*2400H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</w:t>
            </w:r>
          </w:p>
        </w:tc>
        <w:tc>
          <w:tcPr>
            <w:tcW w:w="1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樱桃木原木柜子①（201课室、203课室）</w:t>
            </w:r>
          </w:p>
        </w:tc>
        <w:tc>
          <w:tcPr>
            <w:tcW w:w="5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定制放置乐器的柜子，樱桃木原木，参考尺寸：6600W*550D*3300H</w:t>
            </w:r>
          </w:p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</w:t>
            </w:r>
          </w:p>
        </w:tc>
        <w:tc>
          <w:tcPr>
            <w:tcW w:w="1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樱桃木原木柜子②（201课室、203课室）</w:t>
            </w:r>
          </w:p>
        </w:tc>
        <w:tc>
          <w:tcPr>
            <w:tcW w:w="5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定制放置乐器的柜子，樱桃木原木，参考尺寸：8500~8600W*400D*900H</w:t>
            </w:r>
          </w:p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7</w:t>
            </w:r>
          </w:p>
        </w:tc>
        <w:tc>
          <w:tcPr>
            <w:tcW w:w="1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樱桃木原木柜子③（201课室、203课室）</w:t>
            </w:r>
          </w:p>
        </w:tc>
        <w:tc>
          <w:tcPr>
            <w:tcW w:w="5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定制放置乐器的柜子，樱桃木原木，参考尺寸：6070~6090W*450D*1100H</w:t>
            </w:r>
          </w:p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</w:t>
            </w:r>
          </w:p>
        </w:tc>
        <w:tc>
          <w:tcPr>
            <w:tcW w:w="1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多层板柜子①（111课室）</w:t>
            </w:r>
          </w:p>
        </w:tc>
        <w:tc>
          <w:tcPr>
            <w:tcW w:w="5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定制乐器柜，木质结构，多层板，饰面颜色：金橡木，材料厚度要求：顶板跟层板厚度25厘，其余为18厘。</w:t>
            </w:r>
          </w:p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参考尺寸：3800W*600D*2700H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9</w:t>
            </w:r>
          </w:p>
        </w:tc>
        <w:tc>
          <w:tcPr>
            <w:tcW w:w="1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多层板柜子②（111课室）</w:t>
            </w:r>
          </w:p>
        </w:tc>
        <w:tc>
          <w:tcPr>
            <w:tcW w:w="5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定制乐器柜，木质结构，多层板，饰面颜色：金橡木，材料厚度要求：顶板跟层板厚度25厘，其余为18厘。</w:t>
            </w:r>
          </w:p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参考尺寸：5400W*600D*2700H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  <w:r>
              <w:rPr>
                <w:rFonts w:ascii="宋体" w:hAnsi="宋体" w:cs="宋体"/>
                <w:kern w:val="0"/>
                <w:sz w:val="24"/>
              </w:rPr>
              <w:t>0</w:t>
            </w:r>
          </w:p>
        </w:tc>
        <w:tc>
          <w:tcPr>
            <w:tcW w:w="1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多层板柜子③（</w:t>
            </w:r>
            <w:r>
              <w:rPr>
                <w:rFonts w:ascii="仿宋" w:hAnsi="仿宋" w:eastAsia="仿宋"/>
                <w:sz w:val="20"/>
                <w:szCs w:val="20"/>
              </w:rPr>
              <w:t>223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课室）</w:t>
            </w:r>
          </w:p>
        </w:tc>
        <w:tc>
          <w:tcPr>
            <w:tcW w:w="5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定制乐器柜，木质结构，多层板，饰面颜色：金橡木，材料厚度要求：顶板跟层板厚度25厘，其余为18厘。</w:t>
            </w:r>
          </w:p>
          <w:p>
            <w:pPr>
              <w:widowControl/>
              <w:jc w:val="left"/>
              <w:rPr>
                <w:rFonts w:ascii="仿宋" w:hAnsi="仿宋" w:eastAsia="仿宋"/>
                <w:sz w:val="20"/>
                <w:szCs w:val="20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参考尺寸：4300W*600D*2400H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11</w:t>
            </w:r>
          </w:p>
        </w:tc>
        <w:tc>
          <w:tcPr>
            <w:tcW w:w="1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讲台高脚凳</w:t>
            </w:r>
          </w:p>
        </w:tc>
        <w:tc>
          <w:tcPr>
            <w:tcW w:w="5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可升降，高至7</w:t>
            </w:r>
            <w:r>
              <w:rPr>
                <w:rFonts w:ascii="仿宋" w:hAnsi="仿宋" w:eastAsia="仿宋"/>
                <w:sz w:val="20"/>
                <w:szCs w:val="20"/>
              </w:rPr>
              <w:t>7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-8</w:t>
            </w:r>
            <w:r>
              <w:rPr>
                <w:rFonts w:ascii="仿宋" w:hAnsi="仿宋" w:eastAsia="仿宋"/>
                <w:sz w:val="20"/>
                <w:szCs w:val="20"/>
              </w:rPr>
              <w:t>5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cm，可旋转，有搁脚面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12</w:t>
            </w:r>
          </w:p>
        </w:tc>
        <w:tc>
          <w:tcPr>
            <w:tcW w:w="1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落地镜</w:t>
            </w:r>
          </w:p>
        </w:tc>
        <w:tc>
          <w:tcPr>
            <w:tcW w:w="5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规格：</w:t>
            </w:r>
            <w:r>
              <w:rPr>
                <w:rFonts w:ascii="仿宋" w:hAnsi="仿宋" w:eastAsia="仿宋"/>
                <w:sz w:val="20"/>
                <w:szCs w:val="20"/>
              </w:rPr>
              <w:t>155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*</w:t>
            </w:r>
            <w:r>
              <w:rPr>
                <w:rFonts w:ascii="仿宋" w:hAnsi="仿宋" w:eastAsia="仿宋"/>
                <w:sz w:val="20"/>
                <w:szCs w:val="20"/>
              </w:rPr>
              <w:t>45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，可移动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27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面</w:t>
            </w:r>
          </w:p>
        </w:tc>
      </w:tr>
    </w:tbl>
    <w:p>
      <w:pPr>
        <w:pStyle w:val="8"/>
        <w:spacing w:line="360" w:lineRule="auto"/>
        <w:ind w:firstLine="241" w:firstLineChars="1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四、服务需求</w:t>
      </w:r>
    </w:p>
    <w:p>
      <w:pPr>
        <w:pStyle w:val="8"/>
        <w:spacing w:line="360" w:lineRule="auto"/>
        <w:ind w:firstLine="0" w:firstLineChars="0"/>
        <w:jc w:val="left"/>
      </w:pPr>
      <w:r>
        <w:rPr>
          <w:rFonts w:hint="eastAsia"/>
          <w:bCs/>
          <w:sz w:val="24"/>
          <w:szCs w:val="24"/>
        </w:rPr>
        <w:t xml:space="preserve"> </w:t>
      </w:r>
      <w:r>
        <w:t>（一）乙方交付的产品质量保证期为1年，自该产品经甲方验收合格签字之日起算。</w:t>
      </w:r>
    </w:p>
    <w:p>
      <w:pPr>
        <w:spacing w:before="156" w:beforeLines="50" w:after="156" w:afterLines="50" w:line="400" w:lineRule="exact"/>
        <w:rPr>
          <w:bCs/>
          <w:sz w:val="24"/>
        </w:rPr>
      </w:pPr>
      <w:r>
        <w:t>（二）自质量保证期到期之日起，由供应商提供不少于</w:t>
      </w:r>
      <w:r>
        <w:rPr>
          <w:rFonts w:hint="eastAsia"/>
        </w:rPr>
        <w:t>4</w:t>
      </w:r>
      <w:r>
        <w:t>年免费保修服务（另有特别说明的，按其要求执行）。免费保修期届满后，如甲方需要乙方继续提供维护服务，由甲乙双方另行协商。</w:t>
      </w:r>
    </w:p>
    <w:p>
      <w:pPr>
        <w:pStyle w:val="8"/>
        <w:spacing w:line="360" w:lineRule="auto"/>
        <w:ind w:firstLine="0" w:firstLineChars="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                                                 </w:t>
      </w:r>
    </w:p>
    <w:p>
      <w:pPr>
        <w:pStyle w:val="8"/>
        <w:spacing w:line="360" w:lineRule="auto"/>
        <w:ind w:firstLine="0" w:firstLineChars="0"/>
        <w:jc w:val="right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                                                 </w:t>
      </w:r>
      <w:r>
        <w:rPr>
          <w:rFonts w:hint="eastAsia"/>
          <w:szCs w:val="24"/>
        </w:rPr>
        <w:t xml:space="preserve"> </w:t>
      </w:r>
      <w:r>
        <w:rPr>
          <w:szCs w:val="24"/>
        </w:rPr>
        <w:t xml:space="preserve">  </w:t>
      </w:r>
      <w:r>
        <w:rPr>
          <w:rFonts w:hint="eastAsia"/>
          <w:szCs w:val="24"/>
        </w:rPr>
        <w:t xml:space="preserve"> </w:t>
      </w:r>
      <w:r>
        <w:rPr>
          <w:szCs w:val="24"/>
        </w:rPr>
        <w:t xml:space="preserve">  </w:t>
      </w:r>
      <w:r>
        <w:rPr>
          <w:rFonts w:hint="eastAsia"/>
          <w:szCs w:val="24"/>
        </w:rPr>
        <w:t>音乐系</w:t>
      </w:r>
    </w:p>
    <w:p>
      <w:pPr>
        <w:pStyle w:val="8"/>
        <w:spacing w:line="360" w:lineRule="auto"/>
        <w:ind w:firstLine="0" w:firstLineChars="0"/>
        <w:jc w:val="right"/>
        <w:sectPr>
          <w:pgSz w:w="11906" w:h="16838"/>
          <w:pgMar w:top="1440" w:right="1800" w:bottom="1318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Cs/>
          <w:sz w:val="24"/>
          <w:szCs w:val="24"/>
        </w:rPr>
        <w:t xml:space="preserve">                                                  </w:t>
      </w:r>
      <w:r>
        <w:rPr>
          <w:bCs/>
          <w:sz w:val="24"/>
          <w:szCs w:val="24"/>
        </w:rPr>
        <w:t>2021</w:t>
      </w:r>
      <w:r>
        <w:rPr>
          <w:rFonts w:hint="eastAsia"/>
          <w:bCs/>
          <w:sz w:val="24"/>
          <w:szCs w:val="24"/>
        </w:rPr>
        <w:t>年</w:t>
      </w:r>
      <w:r>
        <w:rPr>
          <w:bCs/>
          <w:sz w:val="24"/>
          <w:szCs w:val="24"/>
        </w:rPr>
        <w:t>11</w:t>
      </w:r>
      <w:r>
        <w:rPr>
          <w:rFonts w:hint="eastAsia"/>
          <w:bCs/>
          <w:sz w:val="24"/>
          <w:szCs w:val="24"/>
        </w:rPr>
        <w:t>月</w:t>
      </w:r>
      <w:r>
        <w:rPr>
          <w:bCs/>
          <w:sz w:val="24"/>
          <w:szCs w:val="24"/>
        </w:rPr>
        <w:t>25</w:t>
      </w:r>
      <w:r>
        <w:rPr>
          <w:rFonts w:hint="eastAsia"/>
          <w:bCs/>
          <w:sz w:val="24"/>
          <w:szCs w:val="24"/>
        </w:rPr>
        <w:t>日</w:t>
      </w:r>
    </w:p>
    <w:p>
      <w:pPr>
        <w:jc w:val="left"/>
        <w:rPr>
          <w:sz w:val="28"/>
        </w:rPr>
      </w:pPr>
      <w:r>
        <w:rPr>
          <w:rFonts w:hint="eastAsia"/>
          <w:sz w:val="28"/>
        </w:rPr>
        <w:t>附家具参考图片：</w:t>
      </w:r>
    </w:p>
    <w:p>
      <w:pPr>
        <w:pStyle w:val="9"/>
        <w:numPr>
          <w:ilvl w:val="0"/>
          <w:numId w:val="1"/>
        </w:numPr>
        <w:ind w:firstLineChars="0"/>
        <w:jc w:val="left"/>
        <w:rPr>
          <w:sz w:val="28"/>
        </w:rPr>
      </w:pPr>
      <w:r>
        <w:rPr>
          <w:rFonts w:hint="eastAsia"/>
          <w:sz w:val="28"/>
        </w:rPr>
        <w:t>桌椅</w:t>
      </w:r>
    </w:p>
    <w:p>
      <w:pPr>
        <w:pStyle w:val="9"/>
        <w:ind w:left="360" w:firstLine="0" w:firstLineChars="0"/>
        <w:jc w:val="left"/>
        <w:rPr>
          <w:sz w:val="28"/>
        </w:rPr>
      </w:pPr>
      <w:r>
        <w:drawing>
          <wp:inline distT="0" distB="0" distL="0" distR="0">
            <wp:extent cx="3326130" cy="332613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rFonts w:hint="eastAsia"/>
          <w:sz w:val="28"/>
        </w:rPr>
        <w:t>2.椅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3302635" cy="4241800"/>
            <wp:effectExtent l="0" t="0" r="1206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left"/>
        <w:rPr>
          <w:sz w:val="28"/>
        </w:rPr>
      </w:pPr>
      <w:r>
        <w:rPr>
          <w:rFonts w:hint="eastAsia"/>
          <w:sz w:val="28"/>
        </w:rPr>
        <w:t>3-4.衣帽柜</w:t>
      </w:r>
    </w:p>
    <w:p>
      <w:pPr>
        <w:jc w:val="left"/>
        <w:rPr>
          <w:sz w:val="28"/>
        </w:rPr>
      </w:pPr>
      <w:r>
        <w:drawing>
          <wp:inline distT="0" distB="0" distL="0" distR="0">
            <wp:extent cx="5278120" cy="38284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left"/>
        <w:rPr>
          <w:sz w:val="28"/>
        </w:rPr>
      </w:pPr>
      <w:r>
        <w:rPr>
          <w:rFonts w:hint="eastAsia"/>
          <w:sz w:val="28"/>
        </w:rPr>
        <w:t>5-7.樱桃木原木柜子</w:t>
      </w:r>
    </w:p>
    <w:p>
      <w:pPr>
        <w:jc w:val="left"/>
        <w:rPr>
          <w:sz w:val="28"/>
        </w:rPr>
      </w:pPr>
      <w:r>
        <w:drawing>
          <wp:inline distT="0" distB="0" distL="0" distR="0">
            <wp:extent cx="6565265" cy="2743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2982" cy="274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</w:pPr>
      <w:r>
        <w:rPr>
          <w:rFonts w:hint="eastAsia"/>
        </w:rPr>
        <w:t>8-9.多层板柜子</w:t>
      </w:r>
    </w:p>
    <w:p>
      <w:pPr>
        <w:jc w:val="left"/>
        <w:rPr>
          <w:sz w:val="28"/>
        </w:rPr>
      </w:pPr>
      <w:r>
        <w:drawing>
          <wp:inline distT="0" distB="0" distL="0" distR="0">
            <wp:extent cx="5278120" cy="4078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10.多层板柜子</w:t>
      </w:r>
    </w:p>
    <w:p>
      <w:pPr>
        <w:jc w:val="left"/>
        <w:rPr>
          <w:sz w:val="28"/>
        </w:rPr>
      </w:pPr>
      <w:r>
        <w:drawing>
          <wp:inline distT="0" distB="0" distL="0" distR="0">
            <wp:extent cx="5286375" cy="3997960"/>
            <wp:effectExtent l="0" t="0" r="952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left"/>
        <w:rPr>
          <w:sz w:val="28"/>
        </w:rPr>
      </w:pPr>
      <w:r>
        <w:rPr>
          <w:rFonts w:hint="eastAsia" w:ascii="仿宋" w:hAnsi="仿宋" w:eastAsia="仿宋"/>
          <w:sz w:val="20"/>
          <w:szCs w:val="20"/>
        </w:rPr>
        <w:t>11.讲台高脚凳</w:t>
      </w:r>
    </w:p>
    <w:p>
      <w:pPr>
        <w:jc w:val="left"/>
        <w:rPr>
          <w:sz w:val="28"/>
        </w:rPr>
      </w:pPr>
      <w:r>
        <w:drawing>
          <wp:inline distT="0" distB="0" distL="0" distR="0">
            <wp:extent cx="3596640" cy="4572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7148" cy="457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left"/>
        <w:rPr>
          <w:sz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454025</wp:posOffset>
            </wp:positionV>
            <wp:extent cx="2457450" cy="346710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5144" r="412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0"/>
          <w:szCs w:val="20"/>
        </w:rPr>
        <w:t>12.落地镜</w:t>
      </w:r>
    </w:p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D83172"/>
    <w:multiLevelType w:val="multilevel"/>
    <w:tmpl w:val="0ED8317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FE6"/>
    <w:rsid w:val="00000527"/>
    <w:rsid w:val="00012255"/>
    <w:rsid w:val="000702AA"/>
    <w:rsid w:val="00076071"/>
    <w:rsid w:val="000863AB"/>
    <w:rsid w:val="000927C9"/>
    <w:rsid w:val="000D6138"/>
    <w:rsid w:val="000E54AC"/>
    <w:rsid w:val="00112E12"/>
    <w:rsid w:val="001217B0"/>
    <w:rsid w:val="00123B1D"/>
    <w:rsid w:val="0015702E"/>
    <w:rsid w:val="001650AC"/>
    <w:rsid w:val="0018558D"/>
    <w:rsid w:val="001C27E7"/>
    <w:rsid w:val="001C4337"/>
    <w:rsid w:val="001D08D1"/>
    <w:rsid w:val="001E424F"/>
    <w:rsid w:val="001E657C"/>
    <w:rsid w:val="001F7FB4"/>
    <w:rsid w:val="00202D8A"/>
    <w:rsid w:val="0020534B"/>
    <w:rsid w:val="00215005"/>
    <w:rsid w:val="00263504"/>
    <w:rsid w:val="00272425"/>
    <w:rsid w:val="002761B0"/>
    <w:rsid w:val="00276ADA"/>
    <w:rsid w:val="00282179"/>
    <w:rsid w:val="0028517F"/>
    <w:rsid w:val="002A1443"/>
    <w:rsid w:val="002D003F"/>
    <w:rsid w:val="002D0901"/>
    <w:rsid w:val="00302EF6"/>
    <w:rsid w:val="00310DBB"/>
    <w:rsid w:val="00311E93"/>
    <w:rsid w:val="00330E52"/>
    <w:rsid w:val="00333AE9"/>
    <w:rsid w:val="00396FCA"/>
    <w:rsid w:val="003A2150"/>
    <w:rsid w:val="003D3D41"/>
    <w:rsid w:val="003D7491"/>
    <w:rsid w:val="003F13DF"/>
    <w:rsid w:val="003F547D"/>
    <w:rsid w:val="00462FB1"/>
    <w:rsid w:val="00466890"/>
    <w:rsid w:val="004669A3"/>
    <w:rsid w:val="004A39F4"/>
    <w:rsid w:val="004A5C3F"/>
    <w:rsid w:val="004C662B"/>
    <w:rsid w:val="004E28BA"/>
    <w:rsid w:val="004F3544"/>
    <w:rsid w:val="00534282"/>
    <w:rsid w:val="005366AB"/>
    <w:rsid w:val="005532FD"/>
    <w:rsid w:val="00575D1B"/>
    <w:rsid w:val="00577815"/>
    <w:rsid w:val="005A3CE9"/>
    <w:rsid w:val="005B0E4D"/>
    <w:rsid w:val="005C3D05"/>
    <w:rsid w:val="005C688E"/>
    <w:rsid w:val="005C71FD"/>
    <w:rsid w:val="0060562A"/>
    <w:rsid w:val="006257C6"/>
    <w:rsid w:val="00657CDC"/>
    <w:rsid w:val="0067695C"/>
    <w:rsid w:val="00682DD4"/>
    <w:rsid w:val="006A1486"/>
    <w:rsid w:val="006D6612"/>
    <w:rsid w:val="006F0285"/>
    <w:rsid w:val="006F6786"/>
    <w:rsid w:val="007156DF"/>
    <w:rsid w:val="007220BF"/>
    <w:rsid w:val="0075336E"/>
    <w:rsid w:val="00761B2F"/>
    <w:rsid w:val="00761F88"/>
    <w:rsid w:val="00767592"/>
    <w:rsid w:val="00770452"/>
    <w:rsid w:val="00770BCB"/>
    <w:rsid w:val="007913D8"/>
    <w:rsid w:val="007A1E58"/>
    <w:rsid w:val="007B0BFD"/>
    <w:rsid w:val="007B1F2D"/>
    <w:rsid w:val="007B7BED"/>
    <w:rsid w:val="007C59D2"/>
    <w:rsid w:val="007E019C"/>
    <w:rsid w:val="007F0A45"/>
    <w:rsid w:val="008227A4"/>
    <w:rsid w:val="0082607D"/>
    <w:rsid w:val="00830F69"/>
    <w:rsid w:val="00832859"/>
    <w:rsid w:val="00833155"/>
    <w:rsid w:val="008358C0"/>
    <w:rsid w:val="008851BE"/>
    <w:rsid w:val="00893BDA"/>
    <w:rsid w:val="008B6531"/>
    <w:rsid w:val="008F11BE"/>
    <w:rsid w:val="00936366"/>
    <w:rsid w:val="009558C3"/>
    <w:rsid w:val="00965A12"/>
    <w:rsid w:val="009664B9"/>
    <w:rsid w:val="009827F3"/>
    <w:rsid w:val="009A4658"/>
    <w:rsid w:val="009D5274"/>
    <w:rsid w:val="009E29C2"/>
    <w:rsid w:val="009F28E8"/>
    <w:rsid w:val="00A3498C"/>
    <w:rsid w:val="00A93FE6"/>
    <w:rsid w:val="00A9445D"/>
    <w:rsid w:val="00A971D0"/>
    <w:rsid w:val="00AB511A"/>
    <w:rsid w:val="00AC35A7"/>
    <w:rsid w:val="00AC6568"/>
    <w:rsid w:val="00AF48EC"/>
    <w:rsid w:val="00B2371D"/>
    <w:rsid w:val="00B3501F"/>
    <w:rsid w:val="00BA293F"/>
    <w:rsid w:val="00C02F9C"/>
    <w:rsid w:val="00C15A88"/>
    <w:rsid w:val="00C21588"/>
    <w:rsid w:val="00C305FC"/>
    <w:rsid w:val="00C61DAE"/>
    <w:rsid w:val="00C81EA8"/>
    <w:rsid w:val="00CA7EAE"/>
    <w:rsid w:val="00CC6F18"/>
    <w:rsid w:val="00CE6255"/>
    <w:rsid w:val="00D055E5"/>
    <w:rsid w:val="00D245F0"/>
    <w:rsid w:val="00D40F0D"/>
    <w:rsid w:val="00D44902"/>
    <w:rsid w:val="00D5203E"/>
    <w:rsid w:val="00D647AF"/>
    <w:rsid w:val="00D70EF7"/>
    <w:rsid w:val="00D7175D"/>
    <w:rsid w:val="00D77D3E"/>
    <w:rsid w:val="00D90587"/>
    <w:rsid w:val="00DD45AB"/>
    <w:rsid w:val="00E25B07"/>
    <w:rsid w:val="00E83855"/>
    <w:rsid w:val="00E95E10"/>
    <w:rsid w:val="00EA6584"/>
    <w:rsid w:val="00EF7C79"/>
    <w:rsid w:val="00F137A9"/>
    <w:rsid w:val="00F25E77"/>
    <w:rsid w:val="00F33D66"/>
    <w:rsid w:val="00F44AAA"/>
    <w:rsid w:val="00F529BA"/>
    <w:rsid w:val="00F7702A"/>
    <w:rsid w:val="00FC5B88"/>
    <w:rsid w:val="00FE5BAC"/>
    <w:rsid w:val="029B7FB8"/>
    <w:rsid w:val="02B641A2"/>
    <w:rsid w:val="02D877C1"/>
    <w:rsid w:val="074A4009"/>
    <w:rsid w:val="08A8523A"/>
    <w:rsid w:val="095F261A"/>
    <w:rsid w:val="0B363391"/>
    <w:rsid w:val="0D3447EE"/>
    <w:rsid w:val="111D423F"/>
    <w:rsid w:val="11296D36"/>
    <w:rsid w:val="126F36A3"/>
    <w:rsid w:val="12F860AB"/>
    <w:rsid w:val="169B56A7"/>
    <w:rsid w:val="1BF750E7"/>
    <w:rsid w:val="1C357149"/>
    <w:rsid w:val="1C89679F"/>
    <w:rsid w:val="1DBD3A04"/>
    <w:rsid w:val="21D775B1"/>
    <w:rsid w:val="25E448E8"/>
    <w:rsid w:val="288A7E88"/>
    <w:rsid w:val="29991004"/>
    <w:rsid w:val="2A27106E"/>
    <w:rsid w:val="2AB04767"/>
    <w:rsid w:val="2F202EAC"/>
    <w:rsid w:val="2F84296D"/>
    <w:rsid w:val="300C16ED"/>
    <w:rsid w:val="3088782E"/>
    <w:rsid w:val="3331200A"/>
    <w:rsid w:val="359E0D95"/>
    <w:rsid w:val="35F24C4E"/>
    <w:rsid w:val="37276520"/>
    <w:rsid w:val="3C072276"/>
    <w:rsid w:val="402356C6"/>
    <w:rsid w:val="407E5DA8"/>
    <w:rsid w:val="455530DA"/>
    <w:rsid w:val="46CC3C4A"/>
    <w:rsid w:val="49C1076A"/>
    <w:rsid w:val="49C753E2"/>
    <w:rsid w:val="4B704FDC"/>
    <w:rsid w:val="4E27649C"/>
    <w:rsid w:val="504E6708"/>
    <w:rsid w:val="50A7316D"/>
    <w:rsid w:val="530070FD"/>
    <w:rsid w:val="54B1673E"/>
    <w:rsid w:val="55822FB2"/>
    <w:rsid w:val="56D15FAD"/>
    <w:rsid w:val="58043822"/>
    <w:rsid w:val="584243BE"/>
    <w:rsid w:val="5D191EB3"/>
    <w:rsid w:val="5E8B4B69"/>
    <w:rsid w:val="5EE01D45"/>
    <w:rsid w:val="61127D93"/>
    <w:rsid w:val="614859C8"/>
    <w:rsid w:val="61C11CBB"/>
    <w:rsid w:val="62C165F8"/>
    <w:rsid w:val="64087878"/>
    <w:rsid w:val="647224B2"/>
    <w:rsid w:val="66E352D0"/>
    <w:rsid w:val="69717782"/>
    <w:rsid w:val="6AD229FE"/>
    <w:rsid w:val="6B451E00"/>
    <w:rsid w:val="6DBA5841"/>
    <w:rsid w:val="6DE25361"/>
    <w:rsid w:val="6E3710B3"/>
    <w:rsid w:val="734A1B2F"/>
    <w:rsid w:val="754F334C"/>
    <w:rsid w:val="778102F9"/>
    <w:rsid w:val="79AC1C2C"/>
    <w:rsid w:val="7D8C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  <w:rPr>
      <w:szCs w:val="20"/>
    </w:rPr>
  </w:style>
  <w:style w:type="paragraph" w:customStyle="1" w:styleId="9">
    <w:name w:val="列表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Company</Company>
  <Pages>7</Pages>
  <Words>351</Words>
  <Characters>2002</Characters>
  <Lines>16</Lines>
  <Paragraphs>4</Paragraphs>
  <TotalTime>5</TotalTime>
  <ScaleCrop>false</ScaleCrop>
  <LinksUpToDate>false</LinksUpToDate>
  <CharactersWithSpaces>2349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2021-12-09T07:32:00Z</dcterms:created>
  <dc:creator>W8</dc:creator>
  <cp:lastModifiedBy>Pc</cp:lastModifiedBy>
  <cp:lastPrinted>2021-07-17T03:25:00Z</cp:lastPrinted>
  <dcterms:modified xsi:type="dcterms:W3CDTF">2021-12-14T02:28:02Z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D7DFE6C075934A34AB147BBC396D2359</vt:lpwstr>
  </property>
</Properties>
</file>