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60" w:lineRule="exact"/>
        <w:jc w:val="center"/>
        <w:rPr>
          <w:rFonts w:hint="eastAsia" w:ascii="宋体" w:hAnsi="宋体"/>
          <w:b/>
          <w:bCs/>
          <w:sz w:val="44"/>
          <w:szCs w:val="44"/>
        </w:rPr>
      </w:pPr>
    </w:p>
    <w:p>
      <w:pPr>
        <w:spacing w:line="460" w:lineRule="exact"/>
        <w:jc w:val="center"/>
        <w:rPr>
          <w:rFonts w:ascii="宋体" w:hAnsi="宋体"/>
          <w:b/>
          <w:bCs/>
          <w:sz w:val="44"/>
          <w:szCs w:val="44"/>
        </w:rPr>
      </w:pPr>
      <w:r>
        <w:rPr>
          <w:rFonts w:hint="eastAsia" w:ascii="宋体" w:hAnsi="宋体"/>
          <w:b/>
          <w:bCs/>
          <w:sz w:val="44"/>
          <w:szCs w:val="44"/>
        </w:rPr>
        <w:t>广州南方学院</w:t>
      </w:r>
      <w:r>
        <w:rPr>
          <w:rFonts w:ascii="宋体" w:hAnsi="宋体"/>
          <w:b/>
          <w:bCs/>
          <w:sz w:val="44"/>
          <w:szCs w:val="44"/>
        </w:rPr>
        <w:t>2022</w:t>
      </w:r>
      <w:r>
        <w:rPr>
          <w:rFonts w:hint="eastAsia" w:ascii="宋体" w:hAnsi="宋体"/>
          <w:b/>
          <w:bCs/>
          <w:sz w:val="44"/>
          <w:szCs w:val="44"/>
        </w:rPr>
        <w:t>年家具维修服务采购项目用户需求书</w:t>
      </w:r>
    </w:p>
    <w:p>
      <w:pPr>
        <w:autoSpaceDE w:val="0"/>
        <w:autoSpaceDN w:val="0"/>
        <w:ind w:firstLine="2400" w:firstLineChars="1000"/>
        <w:rPr>
          <w:rFonts w:ascii="宋体" w:hAnsi="宋体"/>
          <w:b/>
          <w:sz w:val="24"/>
        </w:rPr>
      </w:pPr>
    </w:p>
    <w:p>
      <w:pPr>
        <w:spacing w:line="460" w:lineRule="exact"/>
        <w:rPr>
          <w:rFonts w:ascii="宋体" w:hAnsi="宋体"/>
          <w:b/>
          <w:sz w:val="24"/>
        </w:rPr>
      </w:pPr>
      <w:r>
        <w:rPr>
          <w:rFonts w:hint="eastAsia" w:ascii="宋体" w:hAnsi="宋体"/>
          <w:b/>
          <w:sz w:val="24"/>
        </w:rPr>
        <w:t>一、范围</w:t>
      </w:r>
    </w:p>
    <w:p>
      <w:pPr>
        <w:spacing w:line="460" w:lineRule="exact"/>
        <w:rPr>
          <w:rFonts w:ascii="宋体" w:hAnsi="宋体"/>
          <w:sz w:val="24"/>
        </w:rPr>
      </w:pPr>
      <w:r>
        <w:rPr>
          <w:rFonts w:hint="eastAsia" w:ascii="宋体" w:hAnsi="宋体"/>
          <w:sz w:val="24"/>
        </w:rPr>
        <w:t>1、维修范围：师生宿舍家具、教学家具、办公室家具及通用类家具等。</w:t>
      </w:r>
    </w:p>
    <w:p>
      <w:pPr>
        <w:spacing w:line="460" w:lineRule="exact"/>
        <w:rPr>
          <w:rFonts w:ascii="宋体" w:hAnsi="宋体"/>
          <w:sz w:val="24"/>
        </w:rPr>
      </w:pPr>
      <w:r>
        <w:rPr>
          <w:rFonts w:hint="eastAsia" w:ascii="宋体" w:hAnsi="宋体"/>
          <w:sz w:val="24"/>
        </w:rPr>
        <w:t>2、项目预算为</w:t>
      </w:r>
      <w:r>
        <w:rPr>
          <w:rFonts w:hint="eastAsia" w:ascii="宋体" w:hAnsi="宋体"/>
          <w:sz w:val="24"/>
          <w:lang w:val="en-US" w:eastAsia="zh-CN"/>
        </w:rPr>
        <w:t>900000</w:t>
      </w:r>
      <w:r>
        <w:rPr>
          <w:rFonts w:hint="eastAsia" w:ascii="宋体" w:hAnsi="宋体"/>
          <w:sz w:val="24"/>
        </w:rPr>
        <w:t>元</w:t>
      </w:r>
      <w:r>
        <w:rPr>
          <w:rFonts w:hint="eastAsia" w:ascii="宋体" w:hAnsi="宋体"/>
          <w:sz w:val="24"/>
          <w:lang w:eastAsia="zh-CN"/>
        </w:rPr>
        <w:t>（</w:t>
      </w:r>
      <w:r>
        <w:rPr>
          <w:rFonts w:hint="eastAsia" w:ascii="宋体" w:hAnsi="宋体"/>
          <w:sz w:val="24"/>
          <w:lang w:val="en-US" w:eastAsia="zh-CN"/>
        </w:rPr>
        <w:t>不高于900000元</w:t>
      </w:r>
      <w:r>
        <w:rPr>
          <w:rFonts w:hint="eastAsia" w:ascii="宋体" w:hAnsi="宋体"/>
          <w:sz w:val="24"/>
          <w:lang w:eastAsia="zh-CN"/>
        </w:rPr>
        <w:t>）</w:t>
      </w:r>
      <w:r>
        <w:rPr>
          <w:rFonts w:hint="eastAsia" w:ascii="宋体" w:hAnsi="宋体"/>
          <w:sz w:val="24"/>
        </w:rPr>
        <w:t>，维修服务时间为1年。</w:t>
      </w:r>
    </w:p>
    <w:p>
      <w:pPr>
        <w:spacing w:line="460" w:lineRule="exact"/>
        <w:rPr>
          <w:rFonts w:ascii="宋体" w:hAnsi="宋体"/>
          <w:sz w:val="24"/>
        </w:rPr>
      </w:pPr>
      <w:r>
        <w:rPr>
          <w:rFonts w:hint="eastAsia" w:ascii="宋体" w:hAnsi="宋体"/>
          <w:sz w:val="24"/>
        </w:rPr>
        <w:t>3、维修单位递交投标文件时，需提供报价单中《家具主材列表》所要求的维修材料和板材作为样板，样板需运至评标现场并贴好标签。中标样板按采购方要求搬运至指定地点（学院范围内），非中标样板保留至评标后自行撤离。报价清单详见附件。</w:t>
      </w:r>
    </w:p>
    <w:p>
      <w:pPr>
        <w:spacing w:line="460" w:lineRule="exact"/>
        <w:rPr>
          <w:rFonts w:ascii="宋体" w:hAnsi="宋体"/>
          <w:sz w:val="24"/>
        </w:rPr>
      </w:pPr>
      <w:r>
        <w:rPr>
          <w:rFonts w:hint="eastAsia" w:ascii="宋体" w:hAnsi="宋体"/>
          <w:sz w:val="24"/>
        </w:rPr>
        <w:t>4、维修单位报价需包括现场家具</w:t>
      </w:r>
      <w:r>
        <w:rPr>
          <w:rFonts w:hint="eastAsia" w:ascii="宋体" w:hAnsi="宋体"/>
          <w:sz w:val="24"/>
          <w:lang w:val="en-US" w:eastAsia="zh-CN"/>
        </w:rPr>
        <w:t>勘查</w:t>
      </w:r>
      <w:r>
        <w:rPr>
          <w:rFonts w:hint="eastAsia" w:ascii="宋体" w:hAnsi="宋体"/>
          <w:sz w:val="24"/>
        </w:rPr>
        <w:t>、采购、制造、检测、试验、包装、送货、安装、验收、税费、技术服务（包括技术资料、图纸的提供）、保修期保障、其它费用等一切支出。</w:t>
      </w:r>
    </w:p>
    <w:p>
      <w:pPr>
        <w:spacing w:line="460" w:lineRule="exact"/>
        <w:rPr>
          <w:rFonts w:hint="eastAsia" w:ascii="宋体" w:hAnsi="宋体"/>
          <w:sz w:val="24"/>
        </w:rPr>
      </w:pPr>
      <w:r>
        <w:rPr>
          <w:rFonts w:hint="eastAsia" w:ascii="宋体" w:hAnsi="宋体"/>
          <w:sz w:val="24"/>
        </w:rPr>
        <w:t>5、中标单位报价清单的单价作为结算单价，按实际验收合格维修数量结算。</w:t>
      </w:r>
    </w:p>
    <w:p>
      <w:pPr>
        <w:spacing w:line="460" w:lineRule="exact"/>
        <w:rPr>
          <w:rFonts w:ascii="宋体" w:hAnsi="宋体"/>
          <w:b/>
          <w:sz w:val="24"/>
        </w:rPr>
      </w:pPr>
    </w:p>
    <w:p>
      <w:pPr>
        <w:spacing w:line="460" w:lineRule="exact"/>
        <w:rPr>
          <w:rFonts w:ascii="宋体" w:hAnsi="宋体"/>
          <w:b/>
          <w:sz w:val="24"/>
        </w:rPr>
      </w:pPr>
      <w:r>
        <w:rPr>
          <w:rFonts w:hint="eastAsia" w:ascii="宋体" w:hAnsi="宋体"/>
          <w:b/>
          <w:sz w:val="24"/>
        </w:rPr>
        <w:t>二、其他需求</w:t>
      </w:r>
    </w:p>
    <w:p>
      <w:pPr>
        <w:spacing w:line="460" w:lineRule="exact"/>
        <w:rPr>
          <w:rFonts w:ascii="宋体" w:hAnsi="宋体"/>
          <w:b/>
          <w:sz w:val="24"/>
        </w:rPr>
      </w:pPr>
      <w:r>
        <w:rPr>
          <w:rFonts w:ascii="宋体" w:hAnsi="宋体"/>
          <w:sz w:val="24"/>
        </w:rPr>
        <w:t>1</w:t>
      </w:r>
      <w:r>
        <w:rPr>
          <w:rFonts w:hint="eastAsia" w:ascii="宋体" w:hAnsi="宋体"/>
          <w:sz w:val="24"/>
        </w:rPr>
        <w:t>、对维修单位的要求：经营范围具有家具制造或维修</w:t>
      </w:r>
      <w:r>
        <w:rPr>
          <w:rFonts w:hint="eastAsia" w:ascii="宋体" w:hAnsi="宋体" w:cs="宋体"/>
          <w:color w:val="000000"/>
          <w:kern w:val="0"/>
          <w:sz w:val="24"/>
        </w:rPr>
        <w:t>。</w:t>
      </w:r>
    </w:p>
    <w:p>
      <w:pPr>
        <w:spacing w:line="460" w:lineRule="exact"/>
        <w:ind w:left="-1" w:leftChars="-1" w:hanging="1"/>
        <w:rPr>
          <w:rFonts w:ascii="宋体" w:hAnsi="宋体"/>
          <w:sz w:val="24"/>
        </w:rPr>
      </w:pPr>
      <w:r>
        <w:rPr>
          <w:rFonts w:hint="eastAsia" w:ascii="宋体" w:hAnsi="宋体"/>
          <w:sz w:val="24"/>
        </w:rPr>
        <w:t>2、维修要求：维修人员必须是经过专业培训的专业人员，维修过程将严格按照规范的程序和报价表上的要求实施，确保维修货物和周边设施的安全。</w:t>
      </w:r>
    </w:p>
    <w:p>
      <w:pPr>
        <w:spacing w:line="480" w:lineRule="exact"/>
        <w:rPr>
          <w:sz w:val="24"/>
        </w:rPr>
      </w:pPr>
      <w:r>
        <w:rPr>
          <w:rFonts w:hint="eastAsia" w:ascii="宋体" w:hAnsi="宋体"/>
          <w:sz w:val="24"/>
        </w:rPr>
        <w:t>3、合同签字生效后，</w:t>
      </w:r>
      <w:r>
        <w:rPr>
          <w:rFonts w:hint="eastAsia"/>
          <w:sz w:val="24"/>
        </w:rPr>
        <w:t>以</w:t>
      </w:r>
      <w:r>
        <w:rPr>
          <w:rFonts w:hint="eastAsia" w:ascii="宋体" w:hAnsi="宋体"/>
          <w:sz w:val="24"/>
        </w:rPr>
        <w:t>甲方管理部门向乙方发出《报修单》所列要求完工时间作为单项维修工期。</w:t>
      </w:r>
    </w:p>
    <w:p>
      <w:pPr>
        <w:spacing w:line="480" w:lineRule="exact"/>
        <w:rPr>
          <w:rFonts w:hint="eastAsia" w:ascii="宋体" w:hAnsi="宋体"/>
          <w:sz w:val="24"/>
        </w:rPr>
      </w:pPr>
      <w:r>
        <w:rPr>
          <w:rFonts w:hint="eastAsia" w:ascii="宋体" w:hAnsi="宋体"/>
          <w:sz w:val="24"/>
        </w:rPr>
        <w:t>4、验收标准：更换材料必须为全新正品，与乙方现场报价所展现的材料一致，维修安装质量必须达到原规格制作要求，否则视为验收不及格。</w:t>
      </w:r>
    </w:p>
    <w:p>
      <w:pPr>
        <w:spacing w:line="480" w:lineRule="exact"/>
        <w:rPr>
          <w:rFonts w:hint="eastAsia" w:ascii="宋体" w:hAnsi="宋体"/>
          <w:sz w:val="24"/>
        </w:rPr>
      </w:pPr>
      <w:r>
        <w:rPr>
          <w:rFonts w:hint="eastAsia" w:ascii="宋体" w:hAnsi="宋体"/>
          <w:sz w:val="24"/>
        </w:rPr>
        <w:t>5、付款方式：</w:t>
      </w:r>
    </w:p>
    <w:p>
      <w:pPr>
        <w:spacing w:line="460" w:lineRule="exact"/>
        <w:ind w:firstLine="240" w:firstLineChars="100"/>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每个月结算一次，按实际验收合格维修数量结算。乙方每月10日前将上一个月完成的项目，按甲方确认的《报修单》内容申报结算并按实结算。甲方收到《结算书》文件后14个日历天内完成核对及确认。</w:t>
      </w:r>
    </w:p>
    <w:p>
      <w:pPr>
        <w:spacing w:line="460" w:lineRule="exact"/>
        <w:ind w:firstLine="240" w:firstLineChars="100"/>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双方办理验收和结算手续后10个工作日内，甲方向乙方付至该次结算款的95％，余款作为质保金6个月后扣除应扣费用后一次性无息返还。</w:t>
      </w:r>
    </w:p>
    <w:p>
      <w:pPr>
        <w:spacing w:line="460" w:lineRule="exact"/>
        <w:ind w:firstLine="240" w:firstLineChars="100"/>
        <w:rPr>
          <w:rFonts w:hint="eastAsia" w:ascii="宋体" w:hAnsi="宋体"/>
          <w:sz w:val="24"/>
        </w:rPr>
      </w:pPr>
      <w:r>
        <w:rPr>
          <w:rFonts w:hint="eastAsia" w:ascii="宋体" w:hAnsi="宋体"/>
          <w:sz w:val="24"/>
          <w:lang w:eastAsia="zh-CN"/>
        </w:rPr>
        <w:t>（</w:t>
      </w: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rPr>
        <w:t xml:space="preserve">支付款项的同时，乙方须提供国家税务部门监制的正式发票，否则甲方有权顺延支付。  </w:t>
      </w:r>
    </w:p>
    <w:p>
      <w:pPr>
        <w:spacing w:line="460" w:lineRule="exact"/>
        <w:ind w:left="360" w:hanging="360" w:hangingChars="150"/>
        <w:rPr>
          <w:rFonts w:ascii="宋体" w:hAnsi="宋体"/>
          <w:sz w:val="24"/>
        </w:rPr>
      </w:pPr>
      <w:r>
        <w:rPr>
          <w:rFonts w:hint="eastAsia" w:ascii="宋体" w:hAnsi="宋体"/>
          <w:sz w:val="24"/>
        </w:rPr>
        <w:t>6、承包方式：包工包料单价承包方式。</w:t>
      </w:r>
    </w:p>
    <w:p>
      <w:pPr>
        <w:spacing w:line="460" w:lineRule="exact"/>
        <w:ind w:left="360" w:hanging="360" w:hangingChars="150"/>
        <w:rPr>
          <w:rFonts w:ascii="宋体" w:hAnsi="宋体"/>
          <w:sz w:val="24"/>
        </w:rPr>
      </w:pPr>
      <w:r>
        <w:rPr>
          <w:rFonts w:hint="eastAsia" w:ascii="宋体" w:hAnsi="宋体"/>
          <w:sz w:val="24"/>
        </w:rPr>
        <w:t>7、维修与</w:t>
      </w:r>
      <w:r>
        <w:rPr>
          <w:rFonts w:hint="eastAsia" w:ascii="宋体" w:hAnsi="宋体"/>
          <w:bCs/>
          <w:sz w:val="24"/>
        </w:rPr>
        <w:t>保修方式：上门维修、保修。</w:t>
      </w:r>
    </w:p>
    <w:p>
      <w:pPr>
        <w:spacing w:line="460" w:lineRule="exact"/>
        <w:rPr>
          <w:rFonts w:ascii="宋体" w:hAnsi="宋体"/>
          <w:sz w:val="24"/>
        </w:rPr>
      </w:pPr>
      <w:r>
        <w:rPr>
          <w:rFonts w:hint="eastAsia" w:ascii="宋体" w:hAnsi="宋体"/>
          <w:sz w:val="24"/>
        </w:rPr>
        <w:t>8、维修人员须常驻学院，24小时内响应学院派遣维修或保修事项。</w:t>
      </w:r>
    </w:p>
    <w:p>
      <w:pPr>
        <w:spacing w:line="460" w:lineRule="exact"/>
        <w:rPr>
          <w:rFonts w:hint="eastAsia" w:ascii="宋体" w:hAnsi="宋体"/>
          <w:b/>
          <w:bCs/>
          <w:sz w:val="24"/>
        </w:rPr>
      </w:pPr>
    </w:p>
    <w:p>
      <w:pPr>
        <w:spacing w:line="460" w:lineRule="exact"/>
        <w:rPr>
          <w:rFonts w:ascii="宋体" w:hAnsi="宋体"/>
          <w:b/>
          <w:bCs/>
          <w:sz w:val="24"/>
        </w:rPr>
      </w:pPr>
      <w:r>
        <w:rPr>
          <w:rFonts w:hint="eastAsia" w:ascii="宋体" w:hAnsi="宋体"/>
          <w:b/>
          <w:bCs/>
          <w:sz w:val="24"/>
        </w:rPr>
        <w:t>三、服务要求</w:t>
      </w:r>
    </w:p>
    <w:p>
      <w:pPr>
        <w:spacing w:line="480" w:lineRule="exact"/>
        <w:rPr>
          <w:rFonts w:ascii="宋体" w:hAnsi="宋体"/>
          <w:bCs/>
          <w:sz w:val="24"/>
        </w:rPr>
      </w:pPr>
      <w:r>
        <w:rPr>
          <w:rFonts w:hint="eastAsia" w:ascii="宋体" w:hAnsi="宋体"/>
          <w:bCs/>
          <w:sz w:val="24"/>
        </w:rPr>
        <w:t>1、中标人作为维修商，须及时对出现损坏的家具进行维护，中标人提供的维修材料应达到校方现有质量或校方用户要求，而且材料必须符合国家检测标准及产品出厂标准，维修后家具设施整体质量应不低于原有质量标准。</w:t>
      </w:r>
    </w:p>
    <w:p>
      <w:pPr>
        <w:spacing w:line="480" w:lineRule="exact"/>
        <w:rPr>
          <w:rFonts w:ascii="宋体" w:hAnsi="宋体"/>
          <w:bCs/>
          <w:sz w:val="24"/>
        </w:rPr>
      </w:pPr>
      <w:r>
        <w:rPr>
          <w:rFonts w:hint="eastAsia" w:ascii="宋体" w:hAnsi="宋体"/>
          <w:bCs/>
          <w:sz w:val="24"/>
        </w:rPr>
        <w:t>2、家具维修保养所需其他配件由中标人负责提供，其费用由中标人负责，且需保证零配件质量。</w:t>
      </w:r>
    </w:p>
    <w:p>
      <w:pPr>
        <w:spacing w:line="480" w:lineRule="exact"/>
        <w:rPr>
          <w:rFonts w:ascii="宋体" w:hAnsi="宋体"/>
          <w:bCs/>
          <w:sz w:val="24"/>
        </w:rPr>
      </w:pPr>
      <w:r>
        <w:rPr>
          <w:rFonts w:ascii="宋体" w:hAnsi="宋体"/>
          <w:bCs/>
          <w:sz w:val="24"/>
        </w:rPr>
        <w:t>3</w:t>
      </w:r>
      <w:r>
        <w:rPr>
          <w:rFonts w:hint="eastAsia" w:ascii="宋体" w:hAnsi="宋体"/>
          <w:bCs/>
          <w:sz w:val="24"/>
        </w:rPr>
        <w:t>、家具具体损坏情况以现场使用单位签证为准。</w:t>
      </w:r>
    </w:p>
    <w:p>
      <w:pPr>
        <w:spacing w:line="480" w:lineRule="exact"/>
        <w:rPr>
          <w:rFonts w:ascii="宋体" w:hAnsi="宋体"/>
          <w:bCs/>
          <w:sz w:val="24"/>
        </w:rPr>
      </w:pPr>
      <w:r>
        <w:rPr>
          <w:rFonts w:hint="eastAsia" w:ascii="宋体" w:hAnsi="宋体"/>
          <w:bCs/>
          <w:sz w:val="24"/>
        </w:rPr>
        <w:t>4、中标人须在接到使用单位通知之日起24小时内作出响应并及时进行维修，以保证家具及时恢复原有使用功能。</w:t>
      </w:r>
    </w:p>
    <w:p>
      <w:pPr>
        <w:spacing w:line="480" w:lineRule="exact"/>
        <w:rPr>
          <w:rFonts w:ascii="宋体" w:hAnsi="宋体"/>
          <w:bCs/>
          <w:sz w:val="24"/>
        </w:rPr>
      </w:pPr>
      <w:r>
        <w:rPr>
          <w:rFonts w:hint="eastAsia" w:ascii="宋体" w:hAnsi="宋体"/>
          <w:bCs/>
          <w:sz w:val="24"/>
        </w:rPr>
        <w:t>5、中标人须负责更换下来的旧家具配件的清理搬运和维修现场的清洁卫生。</w:t>
      </w:r>
    </w:p>
    <w:p>
      <w:pPr>
        <w:spacing w:line="480" w:lineRule="exact"/>
        <w:rPr>
          <w:rFonts w:ascii="宋体" w:hAnsi="宋体"/>
          <w:bCs/>
          <w:sz w:val="24"/>
        </w:rPr>
      </w:pPr>
      <w:r>
        <w:rPr>
          <w:rFonts w:hint="eastAsia" w:ascii="宋体" w:hAnsi="宋体"/>
          <w:bCs/>
          <w:sz w:val="24"/>
        </w:rPr>
        <w:t>6、因中标人原因在工作中造成消防安全事故，人身伤亡、财产损失，中标人必须承担全部责任。</w:t>
      </w:r>
    </w:p>
    <w:p>
      <w:pPr>
        <w:spacing w:line="480" w:lineRule="exact"/>
        <w:rPr>
          <w:rFonts w:ascii="宋体" w:hAnsi="宋体"/>
          <w:bCs/>
          <w:sz w:val="24"/>
        </w:rPr>
      </w:pPr>
      <w:r>
        <w:rPr>
          <w:rFonts w:hint="eastAsia" w:ascii="宋体" w:hAnsi="宋体"/>
          <w:bCs/>
          <w:sz w:val="24"/>
        </w:rPr>
        <w:t>7、中标人必需遵守学校使用场地的相关管理规定，接受学校的安全检查和监督，配合学校做好安全生产的有关工作。</w:t>
      </w:r>
    </w:p>
    <w:p>
      <w:pPr>
        <w:spacing w:line="480" w:lineRule="exact"/>
        <w:rPr>
          <w:sz w:val="24"/>
        </w:rPr>
      </w:pPr>
      <w:r>
        <w:rPr>
          <w:rFonts w:hint="eastAsia" w:ascii="宋体" w:hAnsi="宋体"/>
          <w:bCs/>
          <w:sz w:val="24"/>
        </w:rPr>
        <w:t>8、每次维修完毕，中标人应通知家具使用单位或管理单位进行验收签证，并作为结算付款依据。自验收签证之日起计，维修项目保修期半年，更换项目的保修期为2年。</w:t>
      </w:r>
    </w:p>
    <w:p>
      <w:pPr>
        <w:spacing w:line="460" w:lineRule="exact"/>
        <w:rPr>
          <w:rFonts w:ascii="宋体" w:hAnsi="宋体"/>
          <w:sz w:val="24"/>
        </w:rPr>
      </w:pPr>
    </w:p>
    <w:p>
      <w:pPr>
        <w:spacing w:line="460" w:lineRule="exact"/>
        <w:rPr>
          <w:rFonts w:ascii="宋体" w:hAnsi="宋体"/>
          <w:sz w:val="24"/>
        </w:rPr>
      </w:pPr>
      <w:r>
        <w:rPr>
          <w:rFonts w:hint="eastAsia" w:ascii="宋体" w:hAnsi="宋体"/>
          <w:sz w:val="24"/>
        </w:rPr>
        <w:t>附件：报价清单</w:t>
      </w:r>
    </w:p>
    <w:p>
      <w:pPr>
        <w:spacing w:line="460" w:lineRule="exact"/>
        <w:rPr>
          <w:rFonts w:ascii="宋体" w:hAnsi="宋体"/>
          <w:sz w:val="24"/>
        </w:rPr>
      </w:pPr>
      <w:r>
        <w:rPr>
          <w:rFonts w:hint="eastAsia" w:ascii="宋体" w:hAnsi="宋体"/>
          <w:sz w:val="24"/>
        </w:rPr>
        <w:t xml:space="preserve">     </w:t>
      </w:r>
    </w:p>
    <w:p>
      <w:pPr>
        <w:spacing w:line="460" w:lineRule="exact"/>
        <w:ind w:right="360"/>
        <w:jc w:val="right"/>
        <w:rPr>
          <w:rFonts w:ascii="宋体" w:hAnsi="宋体"/>
          <w:bCs/>
          <w:sz w:val="24"/>
        </w:rPr>
      </w:pPr>
      <w:r>
        <w:rPr>
          <w:rFonts w:hint="eastAsia" w:ascii="宋体" w:hAnsi="宋体"/>
          <w:bCs/>
          <w:sz w:val="24"/>
        </w:rPr>
        <w:t>广州南方学院总务处</w:t>
      </w:r>
    </w:p>
    <w:p>
      <w:pPr>
        <w:spacing w:line="460" w:lineRule="exact"/>
        <w:jc w:val="center"/>
        <w:rPr>
          <w:b/>
          <w:sz w:val="28"/>
        </w:rPr>
      </w:pPr>
      <w:r>
        <w:rPr>
          <w:rFonts w:ascii="宋体" w:hAnsi="宋体"/>
          <w:bCs/>
          <w:sz w:val="24"/>
        </w:rPr>
        <w:t xml:space="preserve">                             </w:t>
      </w:r>
      <w:r>
        <w:rPr>
          <w:rFonts w:hint="eastAsia" w:ascii="宋体" w:hAnsi="宋体"/>
          <w:bCs/>
          <w:sz w:val="24"/>
        </w:rPr>
        <w:t xml:space="preserve">          </w:t>
      </w:r>
      <w:r>
        <w:rPr>
          <w:rFonts w:ascii="宋体" w:hAnsi="宋体"/>
          <w:bCs/>
          <w:sz w:val="24"/>
        </w:rPr>
        <w:t xml:space="preserve">    </w:t>
      </w:r>
      <w:r>
        <w:rPr>
          <w:rFonts w:hint="eastAsia" w:ascii="宋体" w:hAnsi="宋体"/>
          <w:bCs/>
          <w:sz w:val="24"/>
          <w:lang w:val="en-US" w:eastAsia="zh-CN"/>
        </w:rPr>
        <w:t xml:space="preserve"> </w:t>
      </w:r>
      <w:r>
        <w:rPr>
          <w:rFonts w:ascii="宋体" w:hAnsi="宋体"/>
          <w:bCs/>
          <w:sz w:val="24"/>
        </w:rPr>
        <w:t>2022</w:t>
      </w:r>
      <w:r>
        <w:rPr>
          <w:rFonts w:hint="eastAsia" w:ascii="宋体" w:hAnsi="宋体"/>
          <w:bCs/>
          <w:sz w:val="24"/>
        </w:rPr>
        <w:t>年</w:t>
      </w:r>
      <w:r>
        <w:rPr>
          <w:rFonts w:hint="eastAsia" w:ascii="宋体" w:hAnsi="宋体"/>
          <w:bCs/>
          <w:sz w:val="24"/>
          <w:lang w:val="en-US" w:eastAsia="zh-CN"/>
        </w:rPr>
        <w:t>4</w:t>
      </w:r>
      <w:r>
        <w:rPr>
          <w:rFonts w:hint="eastAsia" w:ascii="宋体" w:hAnsi="宋体"/>
          <w:bCs/>
          <w:sz w:val="24"/>
        </w:rPr>
        <w:t>月</w:t>
      </w:r>
      <w:r>
        <w:rPr>
          <w:rFonts w:hint="eastAsia" w:ascii="宋体" w:hAnsi="宋体"/>
          <w:bCs/>
          <w:sz w:val="24"/>
          <w:lang w:val="en-US" w:eastAsia="zh-CN"/>
        </w:rPr>
        <w:t>4</w:t>
      </w:r>
      <w:r>
        <w:rPr>
          <w:rFonts w:hint="eastAsia" w:ascii="宋体" w:hAnsi="宋体"/>
          <w:bCs/>
          <w:sz w:val="24"/>
        </w:rPr>
        <w:t>日</w:t>
      </w:r>
    </w:p>
    <w:p>
      <w:pPr>
        <w:widowControl/>
        <w:jc w:val="left"/>
        <w:rPr>
          <w:sz w:val="24"/>
          <w:szCs w:val="24"/>
        </w:rPr>
      </w:pPr>
      <w:r>
        <w:rPr>
          <w:sz w:val="24"/>
          <w:szCs w:val="24"/>
        </w:rPr>
        <w:br w:type="page"/>
      </w:r>
    </w:p>
    <w:p>
      <w:pPr>
        <w:widowControl/>
        <w:jc w:val="left"/>
        <w:rPr>
          <w:sz w:val="24"/>
          <w:szCs w:val="24"/>
        </w:rPr>
        <w:sectPr>
          <w:headerReference r:id="rId3" w:type="default"/>
          <w:footerReference r:id="rId4" w:type="default"/>
          <w:pgSz w:w="11906" w:h="16838"/>
          <w:pgMar w:top="1304" w:right="1701" w:bottom="1871" w:left="1995" w:header="737" w:footer="680" w:gutter="0"/>
          <w:pgBorders>
            <w:top w:val="none" w:sz="0" w:space="0"/>
            <w:left w:val="none" w:sz="0" w:space="0"/>
            <w:bottom w:val="none" w:sz="0" w:space="0"/>
            <w:right w:val="none" w:sz="0" w:space="0"/>
          </w:pgBorders>
          <w:pgNumType w:start="0"/>
          <w:cols w:space="720" w:num="1"/>
          <w:titlePg/>
          <w:docGrid w:type="linesAndChars" w:linePitch="312" w:charSpace="0"/>
        </w:sectPr>
      </w:pPr>
    </w:p>
    <w:p>
      <w:pPr>
        <w:widowControl/>
        <w:jc w:val="left"/>
        <w:rPr>
          <w:sz w:val="24"/>
          <w:szCs w:val="24"/>
        </w:rPr>
      </w:pPr>
    </w:p>
    <w:p>
      <w:pPr>
        <w:adjustRightInd w:val="0"/>
        <w:snapToGrid w:val="0"/>
        <w:ind w:firstLine="480" w:firstLineChars="200"/>
        <w:rPr>
          <w:sz w:val="24"/>
          <w:szCs w:val="24"/>
        </w:rPr>
      </w:pPr>
      <w:r>
        <w:rPr>
          <w:rFonts w:hint="eastAsia"/>
          <w:sz w:val="24"/>
          <w:szCs w:val="24"/>
        </w:rPr>
        <w:t>附件一：</w:t>
      </w:r>
    </w:p>
    <w:p>
      <w:pPr>
        <w:adjustRightInd w:val="0"/>
        <w:snapToGrid w:val="0"/>
        <w:ind w:firstLine="480" w:firstLineChars="200"/>
        <w:rPr>
          <w:sz w:val="24"/>
          <w:szCs w:val="24"/>
        </w:rPr>
      </w:pPr>
    </w:p>
    <w:tbl>
      <w:tblPr>
        <w:tblStyle w:val="56"/>
        <w:tblW w:w="9893" w:type="dxa"/>
        <w:jc w:val="center"/>
        <w:tblLayout w:type="fixed"/>
        <w:tblCellMar>
          <w:top w:w="0" w:type="dxa"/>
          <w:left w:w="108" w:type="dxa"/>
          <w:bottom w:w="0" w:type="dxa"/>
          <w:right w:w="108" w:type="dxa"/>
        </w:tblCellMar>
      </w:tblPr>
      <w:tblGrid>
        <w:gridCol w:w="2150"/>
        <w:gridCol w:w="1683"/>
        <w:gridCol w:w="1767"/>
        <w:gridCol w:w="4293"/>
      </w:tblGrid>
      <w:tr>
        <w:tblPrEx>
          <w:tblCellMar>
            <w:top w:w="0" w:type="dxa"/>
            <w:left w:w="108" w:type="dxa"/>
            <w:bottom w:w="0" w:type="dxa"/>
            <w:right w:w="108" w:type="dxa"/>
          </w:tblCellMar>
        </w:tblPrEx>
        <w:trPr>
          <w:trHeight w:val="405" w:hRule="atLeast"/>
          <w:jc w:val="center"/>
        </w:trPr>
        <w:tc>
          <w:tcPr>
            <w:tcW w:w="9893" w:type="dxa"/>
            <w:gridSpan w:val="4"/>
            <w:tcBorders>
              <w:top w:val="nil"/>
              <w:left w:val="nil"/>
              <w:bottom w:val="single" w:color="auto" w:sz="4" w:space="0"/>
              <w:right w:val="nil"/>
            </w:tcBorders>
            <w:shd w:val="clear" w:color="auto" w:fill="auto"/>
            <w:noWrap/>
            <w:vAlign w:val="center"/>
          </w:tcPr>
          <w:p>
            <w:pPr>
              <w:widowControl/>
              <w:jc w:val="center"/>
              <w:rPr>
                <w:rFonts w:hint="eastAsia" w:ascii="宋体" w:hAnsi="宋体" w:cs="宋体"/>
                <w:b/>
                <w:bCs/>
                <w:kern w:val="0"/>
                <w:sz w:val="32"/>
                <w:szCs w:val="32"/>
              </w:rPr>
            </w:pPr>
            <w:r>
              <w:rPr>
                <w:rFonts w:hint="eastAsia" w:ascii="宋体" w:hAnsi="宋体" w:cs="宋体"/>
                <w:b/>
                <w:bCs/>
                <w:kern w:val="0"/>
                <w:sz w:val="32"/>
                <w:szCs w:val="32"/>
              </w:rPr>
              <w:t>家具</w:t>
            </w:r>
            <w:r>
              <w:rPr>
                <w:rFonts w:hint="eastAsia" w:ascii="宋体" w:hAnsi="宋体" w:cs="宋体"/>
                <w:b/>
                <w:bCs/>
                <w:kern w:val="0"/>
                <w:sz w:val="32"/>
                <w:szCs w:val="32"/>
                <w:lang w:val="en-US" w:eastAsia="zh-CN"/>
              </w:rPr>
              <w:t>样板</w:t>
            </w:r>
            <w:r>
              <w:rPr>
                <w:rFonts w:hint="eastAsia" w:ascii="宋体" w:hAnsi="宋体" w:cs="宋体"/>
                <w:b/>
                <w:bCs/>
                <w:kern w:val="0"/>
                <w:sz w:val="32"/>
                <w:szCs w:val="32"/>
              </w:rPr>
              <w:t>列表</w:t>
            </w:r>
          </w:p>
        </w:tc>
      </w:tr>
      <w:tr>
        <w:tblPrEx>
          <w:tblCellMar>
            <w:top w:w="0" w:type="dxa"/>
            <w:left w:w="108" w:type="dxa"/>
            <w:bottom w:w="0" w:type="dxa"/>
            <w:right w:w="108" w:type="dxa"/>
          </w:tblCellMar>
        </w:tblPrEx>
        <w:trPr>
          <w:trHeight w:val="527" w:hRule="atLeast"/>
          <w:jc w:val="center"/>
        </w:trPr>
        <w:tc>
          <w:tcPr>
            <w:tcW w:w="21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类别</w:t>
            </w:r>
          </w:p>
        </w:tc>
        <w:tc>
          <w:tcPr>
            <w:tcW w:w="1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名称</w:t>
            </w:r>
          </w:p>
        </w:tc>
        <w:tc>
          <w:tcPr>
            <w:tcW w:w="17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规格（cm）</w:t>
            </w:r>
          </w:p>
        </w:tc>
        <w:tc>
          <w:tcPr>
            <w:tcW w:w="42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cs="宋体"/>
                <w:b/>
                <w:bCs/>
                <w:kern w:val="0"/>
                <w:sz w:val="24"/>
                <w:szCs w:val="24"/>
                <w:lang w:val="en-US" w:eastAsia="zh-CN"/>
              </w:rPr>
              <w:t>图式</w:t>
            </w:r>
          </w:p>
        </w:tc>
      </w:tr>
      <w:tr>
        <w:tblPrEx>
          <w:tblCellMar>
            <w:top w:w="0" w:type="dxa"/>
            <w:left w:w="108" w:type="dxa"/>
            <w:bottom w:w="0" w:type="dxa"/>
            <w:right w:w="108" w:type="dxa"/>
          </w:tblCellMar>
        </w:tblPrEx>
        <w:trPr>
          <w:trHeight w:val="795" w:hRule="atLeast"/>
          <w:jc w:val="center"/>
        </w:trPr>
        <w:tc>
          <w:tcPr>
            <w:tcW w:w="215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学生宿舍家具</w:t>
            </w:r>
          </w:p>
        </w:tc>
        <w:tc>
          <w:tcPr>
            <w:tcW w:w="16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键盘导轨</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727835" cy="1296035"/>
                  <wp:effectExtent l="0" t="0" r="5715" b="18415"/>
                  <wp:docPr id="16" name="图片 16" descr="键盘导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键盘导轨"/>
                          <pic:cNvPicPr>
                            <a:picLocks noChangeAspect="1"/>
                          </pic:cNvPicPr>
                        </pic:nvPicPr>
                        <pic:blipFill>
                          <a:blip r:embed="rId6"/>
                          <a:stretch>
                            <a:fillRect/>
                          </a:stretch>
                        </pic:blipFill>
                        <pic:spPr>
                          <a:xfrm>
                            <a:off x="0" y="0"/>
                            <a:ext cx="1727835" cy="1296035"/>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椅子</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843405" cy="1561465"/>
                  <wp:effectExtent l="0" t="0" r="4445" b="635"/>
                  <wp:docPr id="3" name="图片 3" descr="椅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椅子"/>
                          <pic:cNvPicPr>
                            <a:picLocks noChangeAspect="1"/>
                          </pic:cNvPicPr>
                        </pic:nvPicPr>
                        <pic:blipFill>
                          <a:blip r:embed="rId7"/>
                          <a:stretch>
                            <a:fillRect/>
                          </a:stretch>
                        </pic:blipFill>
                        <pic:spPr>
                          <a:xfrm>
                            <a:off x="0" y="0"/>
                            <a:ext cx="1843405" cy="1561465"/>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铰链</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865630" cy="1828800"/>
                  <wp:effectExtent l="0" t="0" r="1270" b="0"/>
                  <wp:docPr id="15" name="图片 15" descr="铰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铰链"/>
                          <pic:cNvPicPr>
                            <a:picLocks noChangeAspect="1"/>
                          </pic:cNvPicPr>
                        </pic:nvPicPr>
                        <pic:blipFill>
                          <a:blip r:embed="rId8"/>
                          <a:stretch>
                            <a:fillRect/>
                          </a:stretch>
                        </pic:blipFill>
                        <pic:spPr>
                          <a:xfrm>
                            <a:off x="0" y="0"/>
                            <a:ext cx="1865630" cy="1828800"/>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抽屉/衣柜把手</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847215" cy="1400810"/>
                  <wp:effectExtent l="0" t="0" r="635" b="8890"/>
                  <wp:docPr id="17" name="图片 17" descr="抽屉衣柜把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抽屉衣柜把手"/>
                          <pic:cNvPicPr>
                            <a:picLocks noChangeAspect="1"/>
                          </pic:cNvPicPr>
                        </pic:nvPicPr>
                        <pic:blipFill>
                          <a:blip r:embed="rId9"/>
                          <a:stretch>
                            <a:fillRect/>
                          </a:stretch>
                        </pic:blipFill>
                        <pic:spPr>
                          <a:xfrm>
                            <a:off x="0" y="0"/>
                            <a:ext cx="1847215" cy="1400810"/>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衣柜/书柜锁</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834515" cy="1764030"/>
                  <wp:effectExtent l="0" t="0" r="13335" b="7620"/>
                  <wp:docPr id="13" name="图片 13" descr="衣柜书柜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衣柜书柜锁"/>
                          <pic:cNvPicPr>
                            <a:picLocks noChangeAspect="1"/>
                          </pic:cNvPicPr>
                        </pic:nvPicPr>
                        <pic:blipFill>
                          <a:blip r:embed="rId10"/>
                          <a:stretch>
                            <a:fillRect/>
                          </a:stretch>
                        </pic:blipFill>
                        <pic:spPr>
                          <a:xfrm>
                            <a:off x="0" y="0"/>
                            <a:ext cx="1834515" cy="1764030"/>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蚊帐架</w:t>
            </w:r>
          </w:p>
        </w:tc>
        <w:tc>
          <w:tcPr>
            <w:tcW w:w="17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802130" cy="1758950"/>
                  <wp:effectExtent l="0" t="0" r="7620" b="12700"/>
                  <wp:docPr id="14" name="图片 14" descr="蚊帐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蚊帐架"/>
                          <pic:cNvPicPr>
                            <a:picLocks noChangeAspect="1"/>
                          </pic:cNvPicPr>
                        </pic:nvPicPr>
                        <pic:blipFill>
                          <a:blip r:embed="rId11"/>
                          <a:stretch>
                            <a:fillRect/>
                          </a:stretch>
                        </pic:blipFill>
                        <pic:spPr>
                          <a:xfrm>
                            <a:off x="0" y="0"/>
                            <a:ext cx="1802130" cy="1758950"/>
                          </a:xfrm>
                          <a:prstGeom prst="rect">
                            <a:avLst/>
                          </a:prstGeom>
                        </pic:spPr>
                      </pic:pic>
                    </a:graphicData>
                  </a:graphic>
                </wp:inline>
              </w:drawing>
            </w:r>
          </w:p>
        </w:tc>
      </w:tr>
      <w:tr>
        <w:tblPrEx>
          <w:tblCellMar>
            <w:top w:w="0" w:type="dxa"/>
            <w:left w:w="108" w:type="dxa"/>
            <w:bottom w:w="0" w:type="dxa"/>
            <w:right w:w="108" w:type="dxa"/>
          </w:tblCellMar>
        </w:tblPrEx>
        <w:trPr>
          <w:trHeight w:val="795" w:hRule="atLeast"/>
          <w:jc w:val="center"/>
        </w:trPr>
        <w:tc>
          <w:tcPr>
            <w:tcW w:w="215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床板</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小面积</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drawing>
                <wp:inline distT="0" distB="0" distL="114300" distR="114300">
                  <wp:extent cx="1724025" cy="125730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tretch>
                            <a:fillRect/>
                          </a:stretch>
                        </pic:blipFill>
                        <pic:spPr>
                          <a:xfrm>
                            <a:off x="0" y="0"/>
                            <a:ext cx="1724025" cy="12573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50" w:hRule="atLeast"/>
          <w:jc w:val="center"/>
        </w:trPr>
        <w:tc>
          <w:tcPr>
            <w:tcW w:w="21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教师公寓家具</w:t>
            </w: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办公椅</w:t>
            </w:r>
          </w:p>
        </w:tc>
        <w:tc>
          <w:tcPr>
            <w:tcW w:w="176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drawing>
                <wp:inline distT="0" distB="0" distL="114300" distR="114300">
                  <wp:extent cx="1913255" cy="1809115"/>
                  <wp:effectExtent l="0" t="0" r="635" b="10795"/>
                  <wp:docPr id="18" name="图片 1" descr="95d0af69ba8e2e8b87f9955c89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95d0af69ba8e2e8b87f9955c8903260"/>
                          <pic:cNvPicPr>
                            <a:picLocks noChangeAspect="1"/>
                          </pic:cNvPicPr>
                        </pic:nvPicPr>
                        <pic:blipFill>
                          <a:blip r:embed="rId13"/>
                          <a:stretch>
                            <a:fillRect/>
                          </a:stretch>
                        </pic:blipFill>
                        <pic:spPr>
                          <a:xfrm rot="5400000">
                            <a:off x="0" y="0"/>
                            <a:ext cx="1913255" cy="18091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50" w:hRule="atLeast"/>
          <w:jc w:val="center"/>
        </w:trPr>
        <w:tc>
          <w:tcPr>
            <w:tcW w:w="2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办公椅升降杆</w:t>
            </w:r>
          </w:p>
        </w:tc>
        <w:tc>
          <w:tcPr>
            <w:tcW w:w="176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2296795" cy="1722755"/>
                  <wp:effectExtent l="0" t="0" r="10795" b="8255"/>
                  <wp:docPr id="19" name="图片 19" descr="C:/Users/and/AppData/Local/Temp/picturecompress_20220309102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nd/AppData/Local/Temp/picturecompress_20220309102746/output_1.jpgoutput_1"/>
                          <pic:cNvPicPr>
                            <a:picLocks noChangeAspect="1"/>
                          </pic:cNvPicPr>
                        </pic:nvPicPr>
                        <pic:blipFill>
                          <a:blip r:embed="rId14"/>
                          <a:stretch>
                            <a:fillRect/>
                          </a:stretch>
                        </pic:blipFill>
                        <pic:spPr>
                          <a:xfrm rot="5400000">
                            <a:off x="0" y="0"/>
                            <a:ext cx="2296795" cy="1722755"/>
                          </a:xfrm>
                          <a:prstGeom prst="rect">
                            <a:avLst/>
                          </a:prstGeom>
                        </pic:spPr>
                      </pic:pic>
                    </a:graphicData>
                  </a:graphic>
                </wp:inline>
              </w:drawing>
            </w:r>
          </w:p>
        </w:tc>
      </w:tr>
      <w:tr>
        <w:tblPrEx>
          <w:tblCellMar>
            <w:top w:w="0" w:type="dxa"/>
            <w:left w:w="108" w:type="dxa"/>
            <w:bottom w:w="0" w:type="dxa"/>
            <w:right w:w="108" w:type="dxa"/>
          </w:tblCellMar>
        </w:tblPrEx>
        <w:trPr>
          <w:trHeight w:val="2737" w:hRule="atLeast"/>
          <w:jc w:val="center"/>
        </w:trPr>
        <w:tc>
          <w:tcPr>
            <w:tcW w:w="2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餐桌椅</w:t>
            </w:r>
          </w:p>
        </w:tc>
        <w:tc>
          <w:tcPr>
            <w:tcW w:w="1767"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398905" cy="1641475"/>
                  <wp:effectExtent l="0" t="0" r="10795" b="15875"/>
                  <wp:docPr id="26" name="图片 26" descr="餐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餐椅"/>
                          <pic:cNvPicPr>
                            <a:picLocks noChangeAspect="1"/>
                          </pic:cNvPicPr>
                        </pic:nvPicPr>
                        <pic:blipFill>
                          <a:blip r:embed="rId15"/>
                          <a:stretch>
                            <a:fillRect/>
                          </a:stretch>
                        </pic:blipFill>
                        <pic:spPr>
                          <a:xfrm>
                            <a:off x="0" y="0"/>
                            <a:ext cx="1398905" cy="1641475"/>
                          </a:xfrm>
                          <a:prstGeom prst="rect">
                            <a:avLst/>
                          </a:prstGeom>
                        </pic:spPr>
                      </pic:pic>
                    </a:graphicData>
                  </a:graphic>
                </wp:inline>
              </w:drawing>
            </w:r>
          </w:p>
        </w:tc>
      </w:tr>
      <w:tr>
        <w:tblPrEx>
          <w:tblCellMar>
            <w:top w:w="0" w:type="dxa"/>
            <w:left w:w="108" w:type="dxa"/>
            <w:bottom w:w="0" w:type="dxa"/>
            <w:right w:w="108" w:type="dxa"/>
          </w:tblCellMar>
        </w:tblPrEx>
        <w:trPr>
          <w:trHeight w:val="2014" w:hRule="atLeast"/>
          <w:jc w:val="center"/>
        </w:trPr>
        <w:tc>
          <w:tcPr>
            <w:tcW w:w="2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沙发海绵垫</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241425" cy="1220470"/>
                  <wp:effectExtent l="0" t="0" r="15875" b="17780"/>
                  <wp:docPr id="20" name="图片 20" descr="034d6f4050e9017436c8ccb83abc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34d6f4050e9017436c8ccb83abcdb6"/>
                          <pic:cNvPicPr>
                            <a:picLocks noChangeAspect="1"/>
                          </pic:cNvPicPr>
                        </pic:nvPicPr>
                        <pic:blipFill>
                          <a:blip r:embed="rId16"/>
                          <a:stretch>
                            <a:fillRect/>
                          </a:stretch>
                        </pic:blipFill>
                        <pic:spPr>
                          <a:xfrm flipV="1">
                            <a:off x="0" y="0"/>
                            <a:ext cx="1241425" cy="1220470"/>
                          </a:xfrm>
                          <a:prstGeom prst="rect">
                            <a:avLst/>
                          </a:prstGeom>
                        </pic:spPr>
                      </pic:pic>
                    </a:graphicData>
                  </a:graphic>
                </wp:inline>
              </w:drawing>
            </w:r>
          </w:p>
        </w:tc>
      </w:tr>
      <w:tr>
        <w:tblPrEx>
          <w:tblCellMar>
            <w:top w:w="0" w:type="dxa"/>
            <w:left w:w="108" w:type="dxa"/>
            <w:bottom w:w="0" w:type="dxa"/>
            <w:right w:w="108" w:type="dxa"/>
          </w:tblCellMar>
        </w:tblPrEx>
        <w:trPr>
          <w:trHeight w:val="750" w:hRule="atLeast"/>
          <w:jc w:val="center"/>
        </w:trPr>
        <w:tc>
          <w:tcPr>
            <w:tcW w:w="21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教学楼家具</w:t>
            </w: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电脑椅升降杆</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　</w:t>
            </w:r>
          </w:p>
        </w:tc>
        <w:tc>
          <w:tcPr>
            <w:tcW w:w="42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drawing>
                <wp:inline distT="0" distB="0" distL="114300" distR="114300">
                  <wp:extent cx="1231265" cy="1522095"/>
                  <wp:effectExtent l="0" t="0" r="6985" b="1905"/>
                  <wp:docPr id="25" name="图片 25" descr="2dbdfa5a2064c6709ac6c4901e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dbdfa5a2064c6709ac6c4901e48921"/>
                          <pic:cNvPicPr>
                            <a:picLocks noChangeAspect="1"/>
                          </pic:cNvPicPr>
                        </pic:nvPicPr>
                        <pic:blipFill>
                          <a:blip r:embed="rId17"/>
                          <a:stretch>
                            <a:fillRect/>
                          </a:stretch>
                        </pic:blipFill>
                        <pic:spPr>
                          <a:xfrm>
                            <a:off x="0" y="0"/>
                            <a:ext cx="1231265" cy="1522095"/>
                          </a:xfrm>
                          <a:prstGeom prst="rect">
                            <a:avLst/>
                          </a:prstGeom>
                        </pic:spPr>
                      </pic:pic>
                    </a:graphicData>
                  </a:graphic>
                </wp:inline>
              </w:drawing>
            </w:r>
          </w:p>
        </w:tc>
      </w:tr>
      <w:tr>
        <w:tblPrEx>
          <w:tblCellMar>
            <w:top w:w="0" w:type="dxa"/>
            <w:left w:w="108" w:type="dxa"/>
            <w:bottom w:w="0" w:type="dxa"/>
            <w:right w:w="108" w:type="dxa"/>
          </w:tblCellMar>
        </w:tblPrEx>
        <w:trPr>
          <w:trHeight w:val="705" w:hRule="atLeast"/>
          <w:jc w:val="center"/>
        </w:trPr>
        <w:tc>
          <w:tcPr>
            <w:tcW w:w="2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实木背板</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cs="宋体" w:asciiTheme="majorEastAsia" w:hAnsiTheme="majorEastAsia" w:eastAsiaTheme="majorEastAsia"/>
                <w:color w:val="auto"/>
                <w:sz w:val="24"/>
                <w:szCs w:val="24"/>
              </w:rPr>
              <w:drawing>
                <wp:inline distT="0" distB="0" distL="0" distR="0">
                  <wp:extent cx="1183640" cy="1162685"/>
                  <wp:effectExtent l="0" t="0" r="16510" b="18415"/>
                  <wp:docPr id="22" name="图片 22" descr="说明: IMG_20160909_1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IMG_20160909_163329"/>
                          <pic:cNvPicPr>
                            <a:picLocks noChangeAspect="1" noChangeArrowheads="1"/>
                          </pic:cNvPicPr>
                        </pic:nvPicPr>
                        <pic:blipFill>
                          <a:blip r:embed="rId18" cstate="print">
                            <a:extLst>
                              <a:ext uri="{28A0092B-C50C-407E-A947-70E740481C1C}">
                                <a14:useLocalDpi xmlns:a14="http://schemas.microsoft.com/office/drawing/2010/main" val="0"/>
                              </a:ext>
                            </a:extLst>
                          </a:blip>
                          <a:srcRect t="29646" b="14778"/>
                          <a:stretch>
                            <a:fillRect/>
                          </a:stretch>
                        </pic:blipFill>
                        <pic:spPr>
                          <a:xfrm>
                            <a:off x="0" y="0"/>
                            <a:ext cx="1190204" cy="1169352"/>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93" w:hRule="atLeast"/>
          <w:jc w:val="center"/>
        </w:trPr>
        <w:tc>
          <w:tcPr>
            <w:tcW w:w="2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p>
        </w:tc>
        <w:tc>
          <w:tcPr>
            <w:tcW w:w="1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实木座板</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hint="eastAsia" w:ascii="宋体" w:hAnsi="宋体" w:cs="宋体"/>
                <w:i w:val="0"/>
                <w:color w:val="404040"/>
                <w:kern w:val="0"/>
                <w:sz w:val="24"/>
                <w:szCs w:val="24"/>
                <w:u w:val="none"/>
                <w:lang w:val="en-US" w:eastAsia="zh-CN" w:bidi="ar"/>
              </w:rPr>
              <w:t>常规</w:t>
            </w:r>
          </w:p>
        </w:tc>
        <w:tc>
          <w:tcPr>
            <w:tcW w:w="42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color w:val="404040"/>
                <w:kern w:val="0"/>
                <w:sz w:val="24"/>
                <w:szCs w:val="24"/>
                <w:u w:val="none"/>
                <w:lang w:val="en-US" w:eastAsia="zh-CN" w:bidi="ar"/>
              </w:rPr>
            </w:pPr>
            <w:r>
              <w:rPr>
                <w:rFonts w:cs="宋体" w:asciiTheme="majorEastAsia" w:hAnsiTheme="majorEastAsia" w:eastAsiaTheme="majorEastAsia"/>
                <w:color w:val="auto"/>
                <w:sz w:val="24"/>
                <w:szCs w:val="24"/>
              </w:rPr>
              <w:drawing>
                <wp:inline distT="0" distB="0" distL="0" distR="0">
                  <wp:extent cx="1290955" cy="1289050"/>
                  <wp:effectExtent l="0" t="0" r="0" b="6350"/>
                  <wp:docPr id="21" name="图片 21" descr="说明: IMG_20160909_16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IMG_20160909_163321"/>
                          <pic:cNvPicPr>
                            <a:picLocks noChangeAspect="1" noChangeArrowheads="1"/>
                          </pic:cNvPicPr>
                        </pic:nvPicPr>
                        <pic:blipFill>
                          <a:blip r:embed="rId19" cstate="print">
                            <a:extLst>
                              <a:ext uri="{28A0092B-C50C-407E-A947-70E740481C1C}">
                                <a14:useLocalDpi xmlns:a14="http://schemas.microsoft.com/office/drawing/2010/main" val="0"/>
                              </a:ext>
                            </a:extLst>
                          </a:blip>
                          <a:srcRect l="6140" t="20197" r="-6140" b="26767"/>
                          <a:stretch>
                            <a:fillRect/>
                          </a:stretch>
                        </pic:blipFill>
                        <pic:spPr>
                          <a:xfrm>
                            <a:off x="0" y="0"/>
                            <a:ext cx="1290955" cy="1289050"/>
                          </a:xfrm>
                          <a:prstGeom prst="rect">
                            <a:avLst/>
                          </a:prstGeom>
                          <a:noFill/>
                          <a:ln>
                            <a:noFill/>
                          </a:ln>
                        </pic:spPr>
                      </pic:pic>
                    </a:graphicData>
                  </a:graphic>
                </wp:inline>
              </w:drawing>
            </w:r>
          </w:p>
        </w:tc>
      </w:tr>
    </w:tbl>
    <w:p>
      <w:pPr>
        <w:adjustRightInd w:val="0"/>
        <w:snapToGrid w:val="0"/>
        <w:ind w:firstLine="420" w:firstLineChars="200"/>
        <w:rPr>
          <w:u w:val="none"/>
        </w:rPr>
      </w:pPr>
    </w:p>
    <w:p>
      <w:pPr>
        <w:adjustRightInd w:val="0"/>
        <w:snapToGrid w:val="0"/>
        <w:rPr>
          <w:sz w:val="24"/>
          <w:szCs w:val="24"/>
        </w:rPr>
      </w:pPr>
    </w:p>
    <w:p>
      <w:pPr>
        <w:adjustRightInd w:val="0"/>
        <w:snapToGrid w:val="0"/>
        <w:rPr>
          <w:sz w:val="24"/>
          <w:szCs w:val="24"/>
        </w:rPr>
      </w:pPr>
    </w:p>
    <w:p>
      <w:pPr>
        <w:adjustRightInd w:val="0"/>
        <w:snapToGrid w:val="0"/>
        <w:spacing w:before="100" w:beforeAutospacing="1" w:after="100" w:afterAutospacing="1" w:line="360" w:lineRule="auto"/>
        <w:ind w:firstLine="480" w:firstLineChars="200"/>
        <w:rPr>
          <w:sz w:val="24"/>
          <w:szCs w:val="24"/>
        </w:rPr>
      </w:pPr>
      <w:r>
        <w:rPr>
          <w:rFonts w:hint="eastAsia"/>
          <w:sz w:val="24"/>
          <w:szCs w:val="24"/>
        </w:rPr>
        <w:t>附件二：（1）学生宿舍家具维修项目</w:t>
      </w:r>
      <w:bookmarkStart w:id="0" w:name="_Hlk93331613"/>
      <w:r>
        <w:rPr>
          <w:rFonts w:hint="eastAsia"/>
          <w:sz w:val="24"/>
          <w:szCs w:val="24"/>
        </w:rPr>
        <w:t>表</w:t>
      </w:r>
    </w:p>
    <w:bookmarkEnd w:id="0"/>
    <w:tbl>
      <w:tblPr>
        <w:tblStyle w:val="205"/>
        <w:tblW w:w="10401"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562"/>
        <w:gridCol w:w="709"/>
        <w:gridCol w:w="1276"/>
        <w:gridCol w:w="6520"/>
        <w:gridCol w:w="133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blHeader/>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b/>
                <w:bCs/>
                <w:color w:val="auto"/>
                <w:sz w:val="24"/>
                <w:szCs w:val="24"/>
              </w:rPr>
            </w:pPr>
            <w:r>
              <w:rPr>
                <w:rFonts w:hint="eastAsia"/>
                <w:b/>
                <w:bCs/>
                <w:color w:val="auto"/>
                <w:sz w:val="24"/>
                <w:szCs w:val="24"/>
              </w:rPr>
              <w:t>序号</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b/>
                <w:bCs/>
                <w:color w:val="auto"/>
                <w:sz w:val="24"/>
                <w:szCs w:val="24"/>
              </w:rPr>
            </w:pPr>
            <w:r>
              <w:rPr>
                <w:rFonts w:hint="eastAsia"/>
                <w:b/>
                <w:bCs/>
                <w:color w:val="auto"/>
                <w:sz w:val="24"/>
                <w:szCs w:val="24"/>
              </w:rPr>
              <w:t>维修项目</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b/>
                <w:bCs/>
                <w:color w:val="auto"/>
                <w:sz w:val="24"/>
                <w:szCs w:val="24"/>
              </w:rPr>
            </w:pPr>
            <w:r>
              <w:rPr>
                <w:rFonts w:hint="eastAsia"/>
                <w:b/>
                <w:bCs/>
                <w:color w:val="auto"/>
                <w:sz w:val="24"/>
                <w:szCs w:val="24"/>
              </w:rPr>
              <w:t>损坏程度</w:t>
            </w:r>
          </w:p>
        </w:tc>
        <w:tc>
          <w:tcPr>
            <w:tcW w:w="6520"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2" w:firstLineChars="200"/>
              <w:rPr>
                <w:b/>
                <w:bCs/>
                <w:color w:val="auto"/>
                <w:sz w:val="24"/>
                <w:szCs w:val="24"/>
              </w:rPr>
            </w:pPr>
            <w:r>
              <w:rPr>
                <w:rFonts w:hint="eastAsia"/>
                <w:b/>
                <w:bCs/>
                <w:color w:val="auto"/>
                <w:sz w:val="24"/>
                <w:szCs w:val="24"/>
              </w:rPr>
              <w:t>描述</w:t>
            </w:r>
          </w:p>
        </w:tc>
        <w:tc>
          <w:tcPr>
            <w:tcW w:w="1334"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b/>
                <w:bCs/>
                <w:color w:val="auto"/>
                <w:sz w:val="24"/>
                <w:szCs w:val="24"/>
              </w:rPr>
            </w:pPr>
            <w:r>
              <w:rPr>
                <w:rFonts w:hint="eastAsia"/>
                <w:b/>
                <w:bCs/>
                <w:color w:val="auto"/>
                <w:sz w:val="24"/>
                <w:szCs w:val="24"/>
              </w:rPr>
              <w:t>控制单</w:t>
            </w:r>
            <w:r>
              <w:rPr>
                <w:rFonts w:hint="eastAsia"/>
                <w:b/>
                <w:bCs/>
                <w:color w:val="auto"/>
                <w:sz w:val="24"/>
                <w:szCs w:val="24"/>
                <w:lang w:val="en-US" w:eastAsia="zh-CN"/>
              </w:rPr>
              <w:t>价</w:t>
            </w:r>
            <w:r>
              <w:rPr>
                <w:rFonts w:hint="eastAsia"/>
                <w:b/>
                <w:bCs/>
                <w:color w:val="auto"/>
                <w:sz w:val="24"/>
                <w:szCs w:val="24"/>
              </w:rPr>
              <w:t>（元）</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color w:val="auto"/>
                <w:sz w:val="24"/>
                <w:szCs w:val="24"/>
              </w:rPr>
            </w:pPr>
            <w:r>
              <w:rPr>
                <w:rFonts w:hint="eastAsia"/>
                <w:color w:val="auto"/>
                <w:sz w:val="24"/>
                <w:szCs w:val="24"/>
              </w:rPr>
              <w:t>1</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椅子</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椅子座板、背板松动，椅子铁椅架脱焊，固定椅背板及座板，焊接椅架。</w:t>
            </w:r>
          </w:p>
        </w:tc>
        <w:tc>
          <w:tcPr>
            <w:tcW w:w="1334"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更换</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1</w:t>
            </w:r>
            <w:r>
              <w:rPr>
                <w:color w:val="auto"/>
                <w:sz w:val="24"/>
                <w:szCs w:val="24"/>
              </w:rPr>
              <w:t>.</w:t>
            </w:r>
            <w:r>
              <w:rPr>
                <w:rFonts w:hint="eastAsia"/>
                <w:color w:val="auto"/>
                <w:sz w:val="24"/>
                <w:szCs w:val="24"/>
              </w:rPr>
              <w:t>椅子4</w:t>
            </w:r>
            <w:r>
              <w:rPr>
                <w:color w:val="auto"/>
                <w:sz w:val="24"/>
                <w:szCs w:val="24"/>
              </w:rPr>
              <w:t>2</w:t>
            </w:r>
            <w:r>
              <w:rPr>
                <w:rFonts w:hint="eastAsia"/>
                <w:color w:val="auto"/>
                <w:sz w:val="24"/>
                <w:szCs w:val="24"/>
              </w:rPr>
              <w:t>0*4</w:t>
            </w:r>
            <w:r>
              <w:rPr>
                <w:color w:val="auto"/>
                <w:sz w:val="24"/>
                <w:szCs w:val="24"/>
              </w:rPr>
              <w:t>35</w:t>
            </w:r>
            <w:r>
              <w:rPr>
                <w:rFonts w:hint="eastAsia"/>
                <w:color w:val="auto"/>
                <w:sz w:val="24"/>
                <w:szCs w:val="24"/>
              </w:rPr>
              <w:t>*8</w:t>
            </w:r>
            <w:r>
              <w:rPr>
                <w:color w:val="auto"/>
                <w:sz w:val="24"/>
                <w:szCs w:val="24"/>
              </w:rPr>
              <w:t>7</w:t>
            </w:r>
            <w:r>
              <w:rPr>
                <w:rFonts w:hint="eastAsia"/>
                <w:color w:val="auto"/>
                <w:sz w:val="24"/>
                <w:szCs w:val="24"/>
              </w:rPr>
              <w:t>0：1.钢材用20×20×1.2mm国家标准Q235冷轧方钢，经防锈处理，静电粉末喷灰白色；背板后面用2.0mm 铁条固定，椅架前后采用横梁加固，整体结构牢固、安全。坐板、靠背板采用16mm普通胶合板，表面为枫木色（与宿舍组合家具同色）三聚氰胺板，厚足1.5mmPVC同色封边，加塑料垫管脚。2、饰面多层胶合板的性能符合国标GB/T 34722-2017标准要求，其中胶合强度≥0.8MPa、表面胶合强度≥0.8</w:t>
            </w:r>
            <w:r>
              <w:rPr>
                <w:color w:val="auto"/>
                <w:sz w:val="24"/>
                <w:szCs w:val="24"/>
              </w:rPr>
              <w:t>MPa</w:t>
            </w:r>
            <w:r>
              <w:rPr>
                <w:rFonts w:hint="eastAsia"/>
                <w:color w:val="auto"/>
                <w:sz w:val="24"/>
                <w:szCs w:val="24"/>
              </w:rPr>
              <w:t>。</w:t>
            </w:r>
          </w:p>
          <w:p>
            <w:pPr>
              <w:adjustRightInd w:val="0"/>
              <w:snapToGrid w:val="0"/>
              <w:spacing w:line="360" w:lineRule="auto"/>
              <w:jc w:val="center"/>
              <w:rPr>
                <w:color w:val="auto"/>
                <w:sz w:val="24"/>
                <w:szCs w:val="24"/>
              </w:rPr>
            </w:pPr>
            <w:r>
              <w:rPr>
                <w:rFonts w:hint="eastAsia"/>
                <w:color w:val="auto"/>
                <w:sz w:val="24"/>
                <w:szCs w:val="24"/>
              </w:rPr>
              <w:t>2</w:t>
            </w:r>
            <w:r>
              <w:rPr>
                <w:color w:val="auto"/>
                <w:sz w:val="24"/>
                <w:szCs w:val="24"/>
              </w:rPr>
              <w:t>.</w:t>
            </w:r>
            <w:r>
              <w:rPr>
                <w:rFonts w:hint="eastAsia"/>
                <w:color w:val="auto"/>
                <w:sz w:val="24"/>
                <w:szCs w:val="24"/>
              </w:rPr>
              <w:t>图示：</w:t>
            </w:r>
          </w:p>
          <w:p>
            <w:pPr>
              <w:adjustRightInd w:val="0"/>
              <w:snapToGrid w:val="0"/>
              <w:spacing w:line="360" w:lineRule="auto"/>
              <w:jc w:val="center"/>
              <w:rPr>
                <w:color w:val="auto"/>
                <w:sz w:val="24"/>
                <w:szCs w:val="24"/>
              </w:rPr>
            </w:pPr>
            <w:r>
              <w:rPr>
                <w:color w:val="auto"/>
                <w:sz w:val="24"/>
                <w:szCs w:val="24"/>
              </w:rPr>
              <w:drawing>
                <wp:inline distT="0" distB="0" distL="0" distR="0">
                  <wp:extent cx="3800475" cy="2861945"/>
                  <wp:effectExtent l="0" t="0" r="952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rcRect l="13610" t="8599" r="10918" b="15579"/>
                          <a:stretch>
                            <a:fillRect/>
                          </a:stretch>
                        </pic:blipFill>
                        <pic:spPr>
                          <a:xfrm>
                            <a:off x="0" y="0"/>
                            <a:ext cx="3821795" cy="2878440"/>
                          </a:xfrm>
                          <a:prstGeom prst="rect">
                            <a:avLst/>
                          </a:prstGeom>
                          <a:ln>
                            <a:noFill/>
                          </a:ln>
                        </pic:spPr>
                      </pic:pic>
                    </a:graphicData>
                  </a:graphic>
                </wp:inline>
              </w:drawing>
            </w:r>
          </w:p>
          <w:p>
            <w:pPr>
              <w:adjustRightInd w:val="0"/>
              <w:snapToGrid w:val="0"/>
              <w:spacing w:line="360" w:lineRule="auto"/>
              <w:jc w:val="center"/>
              <w:rPr>
                <w:color w:val="auto"/>
                <w:sz w:val="24"/>
                <w:szCs w:val="24"/>
              </w:rPr>
            </w:pPr>
            <w:r>
              <w:rPr>
                <w:rFonts w:hint="eastAsia" w:ascii="宋体" w:hAnsi="宋体"/>
                <w:color w:val="auto"/>
                <w:szCs w:val="21"/>
              </w:rPr>
              <w:t>▲</w:t>
            </w:r>
            <w:r>
              <w:rPr>
                <w:rFonts w:hint="eastAsia"/>
                <w:color w:val="auto"/>
                <w:sz w:val="24"/>
                <w:szCs w:val="24"/>
              </w:rPr>
              <w:t>3</w:t>
            </w:r>
            <w:r>
              <w:rPr>
                <w:color w:val="auto"/>
                <w:sz w:val="24"/>
                <w:szCs w:val="24"/>
              </w:rPr>
              <w:t>.</w:t>
            </w:r>
            <w:r>
              <w:rPr>
                <w:rFonts w:hint="eastAsia"/>
                <w:color w:val="auto"/>
                <w:sz w:val="24"/>
                <w:szCs w:val="24"/>
              </w:rPr>
              <w:t>椅子向前倾翻、侧向倾翻、向后倾翻试验指标都合格的，（检测依据符合GB/T 4071-2010《课桌椅》标准）。 注：以标注CMA或CNAS标志的检测报告为准，提供2019年以来由国家认可的质量监督检测机构出具的标志的检测报告。</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90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color w:val="auto"/>
                <w:sz w:val="24"/>
                <w:szCs w:val="24"/>
              </w:rPr>
            </w:pPr>
            <w:r>
              <w:rPr>
                <w:rFonts w:hint="eastAsia"/>
                <w:color w:val="auto"/>
                <w:sz w:val="24"/>
                <w:szCs w:val="24"/>
              </w:rPr>
              <w:t>2</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衣柜</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衣柜松动加固，背板及底板裂开，调节上下门板间隙更换部分材料，拉手、门铰，锁片、挂衣杆。</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color w:val="auto"/>
                <w:sz w:val="24"/>
                <w:szCs w:val="24"/>
              </w:rPr>
              <w:t>4</w:t>
            </w:r>
            <w:r>
              <w:rPr>
                <w:rFonts w:hint="eastAsia"/>
                <w:color w:val="auto"/>
                <w:sz w:val="24"/>
                <w:szCs w:val="24"/>
              </w:rPr>
              <w:t>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严重损坏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衣柜损坏严重，需更换东西较多，即更换门板、背板、层隔板、顶底板、钢架底座。</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100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72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衣柜质量标准：柜门用4个双定力弹簧门铰。1.板材为18mm厚普通胶合板，外贴枫木色（跟原有产品颜色相同）三聚氰胺浸渍纸饰面，后背板为5mm胶合板。2.所有封边采用厚度1mm以上PVC同色封边，所有木质家具接触地面脚应采用 500*500*80mm钢架底。3. 成品符合 GB18584-2001、QB/T2741-2013 标准要求，板材达到国家E1级甲醛排放标准。</w:t>
            </w:r>
          </w:p>
          <w:p>
            <w:pPr>
              <w:adjustRightInd w:val="0"/>
              <w:snapToGrid w:val="0"/>
              <w:spacing w:line="360" w:lineRule="auto"/>
              <w:jc w:val="center"/>
              <w:rPr>
                <w:color w:val="auto"/>
                <w:sz w:val="24"/>
                <w:szCs w:val="24"/>
              </w:rPr>
            </w:pPr>
            <w:r>
              <w:rPr>
                <w:rFonts w:hint="eastAsia"/>
                <w:color w:val="auto"/>
                <w:sz w:val="24"/>
                <w:szCs w:val="24"/>
              </w:rPr>
              <w:t>图示：</w:t>
            </w:r>
          </w:p>
          <w:p>
            <w:pPr>
              <w:adjustRightInd w:val="0"/>
              <w:snapToGrid w:val="0"/>
              <w:spacing w:line="360" w:lineRule="auto"/>
              <w:jc w:val="center"/>
              <w:rPr>
                <w:color w:val="auto"/>
                <w:sz w:val="24"/>
                <w:szCs w:val="24"/>
              </w:rPr>
            </w:pPr>
            <w:r>
              <w:rPr>
                <w:rFonts w:hint="eastAsia"/>
                <w:color w:val="auto"/>
                <w:sz w:val="24"/>
                <w:szCs w:val="24"/>
              </w:rPr>
              <w:drawing>
                <wp:inline distT="0" distB="0" distL="0" distR="0">
                  <wp:extent cx="2145030" cy="2367915"/>
                  <wp:effectExtent l="0" t="0" r="762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rcRect l="9995" t="36445" r="59073" b="18016"/>
                          <a:stretch>
                            <a:fillRect/>
                          </a:stretch>
                        </pic:blipFill>
                        <pic:spPr>
                          <a:xfrm>
                            <a:off x="0" y="0"/>
                            <a:ext cx="2150354" cy="2373347"/>
                          </a:xfrm>
                          <a:prstGeom prst="rect">
                            <a:avLst/>
                          </a:prstGeom>
                          <a:ln>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color w:val="auto"/>
                <w:sz w:val="24"/>
                <w:szCs w:val="24"/>
              </w:rPr>
              <w:t>6</w:t>
            </w:r>
            <w:r>
              <w:rPr>
                <w:rFonts w:hint="eastAsia"/>
                <w:color w:val="auto"/>
                <w:sz w:val="24"/>
                <w:szCs w:val="24"/>
              </w:rPr>
              <w:t>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color w:val="auto"/>
                <w:sz w:val="24"/>
                <w:szCs w:val="24"/>
              </w:rPr>
            </w:pPr>
            <w:r>
              <w:rPr>
                <w:rFonts w:hint="eastAsia"/>
                <w:color w:val="auto"/>
                <w:sz w:val="24"/>
                <w:szCs w:val="24"/>
              </w:rPr>
              <w:t>3</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书桌</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书桌板件松动加固，抽屉、门板锁片缺失，缺失出线盒，补失安装。</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严重损坏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书桌垮塌需要整体组装，更换损坏部分材料，侧脚板、柜门板、台面板等</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100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38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书桌质量标准：1.桌面使用 25㎜三聚氰氨胶合板，四边封2㎜PVC同色封边。其它板板18㎜三聚氰氨胶合板。2.抽屉导轨用不锈钢三节导轨，通过耐久性试验（80000次）；抽屉、柜门锁用明锁结构。3. 成品符合 GB18584-2001、QB/T2741-2013 标准要求，板材达到国家E1级甲醛排放标准；</w:t>
            </w:r>
          </w:p>
          <w:p>
            <w:pPr>
              <w:adjustRightInd w:val="0"/>
              <w:snapToGrid w:val="0"/>
              <w:spacing w:line="360" w:lineRule="auto"/>
              <w:jc w:val="center"/>
              <w:rPr>
                <w:color w:val="auto"/>
                <w:sz w:val="24"/>
                <w:szCs w:val="24"/>
              </w:rPr>
            </w:pPr>
            <w:r>
              <w:rPr>
                <w:rFonts w:hint="eastAsia" w:ascii="宋体" w:hAnsi="宋体"/>
                <w:color w:val="auto"/>
                <w:szCs w:val="21"/>
              </w:rPr>
              <w:t>▲</w:t>
            </w:r>
            <w:r>
              <w:rPr>
                <w:rFonts w:hint="eastAsia"/>
                <w:color w:val="auto"/>
                <w:sz w:val="24"/>
                <w:szCs w:val="24"/>
              </w:rPr>
              <w:t>4</w:t>
            </w:r>
            <w:r>
              <w:rPr>
                <w:color w:val="auto"/>
                <w:sz w:val="24"/>
                <w:szCs w:val="24"/>
              </w:rPr>
              <w:t>.</w:t>
            </w:r>
            <w:r>
              <w:rPr>
                <w:rFonts w:hint="eastAsia"/>
                <w:color w:val="auto"/>
              </w:rPr>
              <w:t xml:space="preserve"> </w:t>
            </w:r>
            <w:r>
              <w:rPr>
                <w:rFonts w:hint="eastAsia"/>
                <w:color w:val="auto"/>
                <w:sz w:val="24"/>
                <w:szCs w:val="24"/>
              </w:rPr>
              <w:t>投标人提供2019年以来由国家认可的质量监督检测机构出具的与本项目釆购同类的胶合板材料检测合格。25mm胶合板的甲醛释放量小于0.lmg/m3（釆用气候箱法）（检测依据符合GB 18580-2017标准）；</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color w:val="auto"/>
                <w:sz w:val="24"/>
                <w:szCs w:val="24"/>
              </w:rPr>
              <w:t>65</w:t>
            </w:r>
            <w:r>
              <w:rPr>
                <w:rFonts w:hint="eastAsia"/>
                <w:color w:val="auto"/>
                <w:sz w:val="24"/>
                <w:szCs w:val="24"/>
              </w:rPr>
              <w:t>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left"/>
              <w:rPr>
                <w:color w:val="auto"/>
                <w:sz w:val="24"/>
                <w:szCs w:val="24"/>
              </w:rPr>
            </w:pPr>
            <w:r>
              <w:rPr>
                <w:rFonts w:hint="eastAsia"/>
                <w:color w:val="auto"/>
                <w:sz w:val="24"/>
                <w:szCs w:val="24"/>
              </w:rPr>
              <w:t>4</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书架1（见图）</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书架与衣柜或书柜连接松动加固，更换部分损坏的层板、隔板，背板松脱等</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jc w:val="left"/>
              <w:rPr>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ind w:firstLine="480" w:firstLineChars="200"/>
              <w:rPr>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color w:val="auto"/>
                <w:sz w:val="24"/>
                <w:szCs w:val="24"/>
              </w:rPr>
            </w:pPr>
            <w:r>
              <w:rPr>
                <w:rFonts w:hint="eastAsia"/>
                <w:color w:val="auto"/>
                <w:sz w:val="24"/>
                <w:szCs w:val="24"/>
              </w:rPr>
              <w:t>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rFonts w:hint="eastAsia"/>
                <w:color w:val="auto"/>
                <w:sz w:val="24"/>
                <w:szCs w:val="24"/>
              </w:rPr>
              <w:t>书架整体损坏严重，需更换东西较多或全部更换</w:t>
            </w:r>
          </w:p>
          <w:p>
            <w:pPr>
              <w:adjustRightInd w:val="0"/>
              <w:snapToGrid w:val="0"/>
              <w:spacing w:line="360" w:lineRule="auto"/>
              <w:jc w:val="center"/>
              <w:rPr>
                <w:color w:val="auto"/>
                <w:sz w:val="24"/>
                <w:szCs w:val="24"/>
              </w:rPr>
            </w:pPr>
            <w:r>
              <w:rPr>
                <w:rFonts w:hint="eastAsia"/>
                <w:color w:val="auto"/>
                <w:sz w:val="24"/>
                <w:szCs w:val="24"/>
              </w:rPr>
              <w:drawing>
                <wp:inline distT="0" distB="0" distL="0" distR="0">
                  <wp:extent cx="1092200" cy="1244600"/>
                  <wp:effectExtent l="0" t="0" r="1270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extLst>
                              <a:ext uri="{28A0092B-C50C-407E-A947-70E740481C1C}">
                                <a14:useLocalDpi xmlns:a14="http://schemas.microsoft.com/office/drawing/2010/main" val="0"/>
                              </a:ext>
                            </a:extLst>
                          </a:blip>
                          <a:srcRect l="27028" t="26429" r="57220" b="49628"/>
                          <a:stretch>
                            <a:fillRect/>
                          </a:stretch>
                        </pic:blipFill>
                        <pic:spPr>
                          <a:xfrm>
                            <a:off x="0" y="0"/>
                            <a:ext cx="1098392" cy="1251656"/>
                          </a:xfrm>
                          <a:prstGeom prst="rect">
                            <a:avLst/>
                          </a:prstGeom>
                          <a:ln>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color w:val="auto"/>
                <w:sz w:val="24"/>
                <w:szCs w:val="24"/>
              </w:rPr>
            </w:pPr>
            <w:r>
              <w:rPr>
                <w:color w:val="auto"/>
                <w:sz w:val="24"/>
                <w:szCs w:val="24"/>
              </w:rPr>
              <w:t>100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5</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书架2（见图）</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书架与衣柜或书桌连接松动加固，更换部分损坏的层板、隔板，背板松脱等</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书架整体损坏严重，需更换东西较多或全部更换</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180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6</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抽屉</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更换或固定抽屉面板，屉斗，抽侧板等维修，更换锁片，更换路轨。</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25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抽屉损坏严重，全部更换</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7</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键盘架</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键盘托、路轨等加固，更换部分材料，包括键盘拉板和板面等</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30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键盘架损坏严重，全部更换</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55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8</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书柜</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书柜松动或板件损坏，固定书柜，更换板件</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严重损坏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书柜垮塌，重新拼装书柜，更换损坏的板件</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3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noWrap/>
          </w:tcPr>
          <w:p>
            <w:pPr>
              <w:adjustRightInd w:val="0"/>
              <w:snapToGrid w:val="0"/>
              <w:spacing w:line="360" w:lineRule="auto"/>
              <w:jc w:val="center"/>
              <w:rPr>
                <w:rFonts w:hint="eastAsia"/>
                <w:color w:val="auto"/>
                <w:sz w:val="24"/>
                <w:szCs w:val="24"/>
              </w:rPr>
            </w:pPr>
            <w:r>
              <w:rPr>
                <w:rFonts w:hint="eastAsia"/>
                <w:color w:val="auto"/>
                <w:sz w:val="24"/>
                <w:szCs w:val="24"/>
              </w:rPr>
              <w:t>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书柜质量标准：所有板材为18mm厚普通胶合板，三聚氰胺浸渍纸饰面。成品符合 GB18584-2001、QB/T2741-2013 标准要求，板材达到国家E1级甲醛排放标准。</w:t>
            </w:r>
          </w:p>
          <w:p>
            <w:pPr>
              <w:adjustRightInd w:val="0"/>
              <w:snapToGrid w:val="0"/>
              <w:spacing w:line="360" w:lineRule="auto"/>
              <w:jc w:val="center"/>
              <w:rPr>
                <w:rFonts w:hint="eastAsia"/>
                <w:color w:val="auto"/>
                <w:sz w:val="24"/>
                <w:szCs w:val="24"/>
              </w:rPr>
            </w:pPr>
            <w:r>
              <w:rPr>
                <w:rFonts w:hint="eastAsia"/>
                <w:color w:val="auto"/>
                <w:sz w:val="24"/>
                <w:szCs w:val="24"/>
              </w:rPr>
              <w:drawing>
                <wp:inline distT="0" distB="0" distL="0" distR="0">
                  <wp:extent cx="1187450" cy="2470150"/>
                  <wp:effectExtent l="0" t="0" r="1270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rcRect l="38934" t="19343" r="43940" b="33136"/>
                          <a:stretch>
                            <a:fillRect/>
                          </a:stretch>
                        </pic:blipFill>
                        <pic:spPr>
                          <a:xfrm>
                            <a:off x="0" y="0"/>
                            <a:ext cx="1194182" cy="2484154"/>
                          </a:xfrm>
                          <a:prstGeom prst="rect">
                            <a:avLst/>
                          </a:prstGeom>
                          <a:ln>
                            <a:noFill/>
                          </a:ln>
                        </pic:spPr>
                      </pic:pic>
                    </a:graphicData>
                  </a:graphic>
                </wp:inline>
              </w:drawing>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500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9</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导轨</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更换</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更换同质量三节路轨</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30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10</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蚊帐架</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蚊帐架需电焊、加固等</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35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蚊帐架损坏严重，需更换东西较多或全部更换</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70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90" w:hRule="atLeast"/>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11</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床晃动</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需加固，具体要求：爬梯与书柜固定；床立柱与墙体固定。在加固过程中如需搬动原家具，由中标人负责搬动和复位</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60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12</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床架</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焊接</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60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缺失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补充并安装</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200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13</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床屏</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一般损坏</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焊接</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缺失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补充并安装</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14</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床护栏</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松脱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电焊，加固</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缺失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补充并电焊接</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80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15</w:t>
            </w:r>
          </w:p>
        </w:tc>
        <w:tc>
          <w:tcPr>
            <w:tcW w:w="709" w:type="dxa"/>
            <w:vMerge w:val="restart"/>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床爬梯</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松脱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电焊，螺丝加固，更换所需材料</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562"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709" w:type="dxa"/>
            <w:vMerge w:val="continue"/>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缺失</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补充并安装</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70" w:hRule="atLeast"/>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16</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床板</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补充（付）</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w:t>
            </w:r>
            <w:r>
              <w:rPr>
                <w:rFonts w:hint="eastAsia"/>
                <w:color w:val="auto"/>
                <w:sz w:val="24"/>
                <w:szCs w:val="24"/>
              </w:rPr>
              <w:t>更换床板：采用20mm厚国标一级杉木板二块为一付（每付不超过7小块），通过开燕尾槽插横担方式拼成。20mm 厚国标一级杉木板（床板数≦7块合成），贯两条木条固定；板材足料，拼板之间缺角小于3mm,单块木板宽度在10至18cm之间，无边料，含水率按国标GB/T 3324-2017的标准，在8%-16%之间，无霉点，双面刨光；床板符合铁床的规格要求，与铁床边框小于5mm缝隙。</w:t>
            </w:r>
          </w:p>
          <w:p>
            <w:pPr>
              <w:adjustRightInd w:val="0"/>
              <w:snapToGrid w:val="0"/>
              <w:spacing w:line="360" w:lineRule="auto"/>
              <w:jc w:val="center"/>
              <w:rPr>
                <w:rFonts w:hint="eastAsia"/>
                <w:b/>
                <w:bCs/>
                <w:color w:val="auto"/>
                <w:sz w:val="24"/>
                <w:szCs w:val="24"/>
              </w:rPr>
            </w:pPr>
            <w:r>
              <w:rPr>
                <w:rFonts w:hint="eastAsia"/>
                <w:color w:val="auto"/>
                <w:sz w:val="24"/>
                <w:szCs w:val="24"/>
              </w:rPr>
              <w:t>▲</w:t>
            </w:r>
            <w:r>
              <w:rPr>
                <w:rFonts w:hint="eastAsia"/>
                <w:color w:val="auto"/>
                <w:sz w:val="24"/>
                <w:szCs w:val="24"/>
              </w:rPr>
              <w:t xml:space="preserve">2. </w:t>
            </w:r>
            <w:r>
              <w:rPr>
                <w:rFonts w:hint="eastAsia"/>
                <w:b/>
                <w:bCs/>
                <w:color w:val="auto"/>
                <w:sz w:val="24"/>
                <w:szCs w:val="24"/>
              </w:rPr>
              <w:t>提供《杉木床板》检验报告，检验依据： GB18584-2001《室内装饰装修材料木家具中有害物质限量》，含水率（%）≤13，甲醛释放量≤1.5mg/L，必须符合检测要求。</w:t>
            </w:r>
          </w:p>
          <w:p>
            <w:pPr>
              <w:adjustRightInd w:val="0"/>
              <w:snapToGrid w:val="0"/>
              <w:spacing w:line="360" w:lineRule="auto"/>
              <w:jc w:val="center"/>
              <w:rPr>
                <w:rFonts w:hint="eastAsia" w:eastAsia="宋体"/>
                <w:color w:val="auto"/>
                <w:sz w:val="24"/>
                <w:szCs w:val="24"/>
                <w:lang w:eastAsia="zh-CN"/>
              </w:rPr>
            </w:pPr>
            <w:r>
              <w:rPr>
                <w:rFonts w:hint="eastAsia"/>
                <w:b/>
                <w:bCs/>
                <w:color w:val="auto"/>
                <w:sz w:val="24"/>
                <w:szCs w:val="24"/>
              </w:rPr>
              <w:t>要求提供自2019年1月1日至本项目投标截止日前满足上述参数的由具有CMA或CNAS资质的质量检测机构出具的合格检验报告扫描件</w:t>
            </w:r>
            <w:r>
              <w:rPr>
                <w:rFonts w:hint="eastAsia"/>
                <w:b/>
                <w:bCs/>
                <w:color w:val="auto"/>
                <w:sz w:val="24"/>
                <w:szCs w:val="24"/>
                <w:lang w:eastAsia="zh-CN"/>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140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328" w:hRule="atLeast"/>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17</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铁床（不含床板）</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铁床严重损坏或补充</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补充并安装铁床：单体结构，下层净空179</w:t>
            </w:r>
            <w:r>
              <w:rPr>
                <w:rFonts w:hint="eastAsia"/>
                <w:color w:val="auto"/>
                <w:sz w:val="24"/>
                <w:szCs w:val="24"/>
              </w:rPr>
              <w:t>0cm，床主架用40×40×1.2</w:t>
            </w:r>
            <w:r>
              <w:rPr>
                <w:rFonts w:hint="eastAsia"/>
                <w:color w:val="auto"/>
                <w:sz w:val="24"/>
                <w:szCs w:val="24"/>
              </w:rPr>
              <w:t>mm国标方钢管；床梁用6条30×20×1.0</w:t>
            </w:r>
            <w:r>
              <w:rPr>
                <w:rFonts w:hint="eastAsia"/>
                <w:color w:val="auto"/>
                <w:sz w:val="24"/>
                <w:szCs w:val="24"/>
              </w:rPr>
              <w:t>mm方管，床方、床脚横梁用5</w:t>
            </w:r>
            <w:r>
              <w:rPr>
                <w:rFonts w:hint="eastAsia"/>
                <w:color w:val="auto"/>
                <w:sz w:val="24"/>
                <w:szCs w:val="24"/>
              </w:rPr>
              <w:t>0×20×1.5mm方管，靠墙床脚横梁离地高度为450mm；各钢件经除锈、酸洗、磷化等工序，除油除锈脱脂磷化处理静电喷粉，高温固化。表面光泽度为60%-70%，硬度＞0.4，冲击强度4N-M，附着力＞2级。粉膜厚度 20µm。5年内不脱落、生锈，焊接口要满焊。护栏采用30×20×1.5mm的钢管弯曲而成；配高1000mm的Ф16mm×1.5 mm蚊帐架。</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650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105" w:hRule="atLeast"/>
        </w:trPr>
        <w:tc>
          <w:tcPr>
            <w:tcW w:w="562"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18</w:t>
            </w:r>
          </w:p>
        </w:tc>
        <w:tc>
          <w:tcPr>
            <w:tcW w:w="70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铁床（不含床板、不含肥梯）</w:t>
            </w:r>
          </w:p>
        </w:tc>
        <w:tc>
          <w:tcPr>
            <w:tcW w:w="127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hint="eastAsia"/>
                <w:color w:val="auto"/>
                <w:sz w:val="24"/>
                <w:szCs w:val="24"/>
              </w:rPr>
            </w:pPr>
            <w:r>
              <w:rPr>
                <w:rFonts w:hint="eastAsia"/>
                <w:color w:val="auto"/>
                <w:sz w:val="24"/>
                <w:szCs w:val="24"/>
              </w:rPr>
              <w:t>双联铁床</w:t>
            </w:r>
          </w:p>
        </w:tc>
        <w:tc>
          <w:tcPr>
            <w:tcW w:w="65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w:t>
            </w:r>
            <w:r>
              <w:rPr>
                <w:rFonts w:hint="eastAsia"/>
                <w:color w:val="auto"/>
                <w:sz w:val="24"/>
                <w:szCs w:val="24"/>
              </w:rPr>
              <w:t>补充并安装铁床材料说明：双联体结构，下层净空179</w:t>
            </w:r>
            <w:r>
              <w:rPr>
                <w:rFonts w:hint="eastAsia"/>
                <w:color w:val="auto"/>
                <w:sz w:val="24"/>
                <w:szCs w:val="24"/>
              </w:rPr>
              <w:t>0cm，床主架用40×40×1.2</w:t>
            </w:r>
            <w:r>
              <w:rPr>
                <w:rFonts w:hint="eastAsia"/>
                <w:color w:val="auto"/>
                <w:sz w:val="24"/>
                <w:szCs w:val="24"/>
              </w:rPr>
              <w:t>mm国标方钢管；床梁用10</w:t>
            </w:r>
            <w:r>
              <w:rPr>
                <w:rFonts w:hint="eastAsia"/>
                <w:color w:val="auto"/>
                <w:sz w:val="24"/>
                <w:szCs w:val="24"/>
              </w:rPr>
              <w:t>条30×20×1.0</w:t>
            </w:r>
            <w:r>
              <w:rPr>
                <w:rFonts w:hint="eastAsia"/>
                <w:color w:val="auto"/>
                <w:sz w:val="24"/>
                <w:szCs w:val="24"/>
              </w:rPr>
              <w:t>mm方管，床方、床脚用40*40*1.2</w:t>
            </w:r>
            <w:r>
              <w:rPr>
                <w:rFonts w:hint="eastAsia"/>
                <w:color w:val="auto"/>
                <w:sz w:val="24"/>
                <w:szCs w:val="24"/>
              </w:rPr>
              <w:t>国标方管，床横梁用5</w:t>
            </w:r>
            <w:r>
              <w:rPr>
                <w:rFonts w:hint="eastAsia"/>
                <w:color w:val="auto"/>
                <w:sz w:val="24"/>
                <w:szCs w:val="24"/>
              </w:rPr>
              <w:t>0×20×1.6</w:t>
            </w:r>
            <w:r>
              <w:rPr>
                <w:rFonts w:hint="eastAsia"/>
                <w:color w:val="auto"/>
                <w:sz w:val="24"/>
                <w:szCs w:val="24"/>
              </w:rPr>
              <w:t>mm方管，靠墙床脚横梁离地高度为40</w:t>
            </w:r>
            <w:r>
              <w:rPr>
                <w:rFonts w:hint="eastAsia"/>
                <w:color w:val="auto"/>
                <w:sz w:val="24"/>
                <w:szCs w:val="24"/>
              </w:rPr>
              <w:t>0mm；爬梯两侧采用Ǿ38</w:t>
            </w:r>
            <w:r>
              <w:rPr>
                <w:rFonts w:hint="eastAsia"/>
                <w:color w:val="auto"/>
                <w:sz w:val="24"/>
                <w:szCs w:val="24"/>
              </w:rPr>
              <w:t>×20×1.5mm圆管；上层覆盖1.5mm厚条波纹防滑板；爬梯脚踏管采用国标30</w:t>
            </w:r>
            <w:r>
              <w:rPr>
                <w:rFonts w:hint="eastAsia"/>
                <w:color w:val="auto"/>
                <w:sz w:val="24"/>
                <w:szCs w:val="24"/>
              </w:rPr>
              <w:t>×15</w:t>
            </w:r>
            <w:r>
              <w:rPr>
                <w:rFonts w:hint="eastAsia"/>
                <w:color w:val="auto"/>
                <w:sz w:val="24"/>
                <w:szCs w:val="24"/>
              </w:rPr>
              <w:t>×1.2</w:t>
            </w:r>
            <w:r>
              <w:rPr>
                <w:rFonts w:hint="eastAsia"/>
                <w:color w:val="auto"/>
                <w:sz w:val="24"/>
                <w:szCs w:val="24"/>
              </w:rPr>
              <w:t>mm椭圆管；各钢件经除锈、酸洗、磷化等工序，除油除锈脱脂磷化处理静电喷粉，高温固化。表面光泽度为60%-70%，硬度＞0.4，冲击强度4N-M，附着力＞2级。粉膜厚度 20µm。5年内不脱落、生锈，焊接口要满焊。护栏采用30×20×1.5mm的钢管弯曲而成；配高1000mm的Ф16mm×1.0</w:t>
            </w:r>
            <w:r>
              <w:rPr>
                <w:rFonts w:hint="eastAsia"/>
                <w:color w:val="auto"/>
                <w:sz w:val="24"/>
                <w:szCs w:val="24"/>
              </w:rPr>
              <w:t xml:space="preserve"> mm蚊帐架。</w:t>
            </w:r>
          </w:p>
          <w:p>
            <w:pPr>
              <w:adjustRightInd w:val="0"/>
              <w:snapToGrid w:val="0"/>
              <w:spacing w:line="360" w:lineRule="auto"/>
              <w:jc w:val="both"/>
              <w:rPr>
                <w:rFonts w:hint="eastAsia"/>
                <w:color w:val="auto"/>
                <w:sz w:val="24"/>
                <w:szCs w:val="24"/>
              </w:rPr>
            </w:pPr>
            <w:r>
              <w:rPr>
                <w:rFonts w:hint="eastAsia"/>
                <w:color w:val="auto"/>
                <w:sz w:val="24"/>
                <w:szCs w:val="24"/>
              </w:rPr>
              <w:t>2.</w:t>
            </w:r>
            <w:r>
              <w:rPr>
                <w:rFonts w:hint="eastAsia"/>
                <w:color w:val="auto"/>
                <w:sz w:val="24"/>
                <w:szCs w:val="24"/>
              </w:rPr>
              <w:t>图示</w:t>
            </w:r>
          </w:p>
          <w:p>
            <w:pPr>
              <w:adjustRightInd w:val="0"/>
              <w:snapToGrid w:val="0"/>
              <w:spacing w:line="360" w:lineRule="auto"/>
              <w:jc w:val="center"/>
              <w:rPr>
                <w:rFonts w:hint="eastAsia"/>
                <w:color w:val="auto"/>
                <w:sz w:val="24"/>
                <w:szCs w:val="24"/>
              </w:rPr>
            </w:pPr>
            <w:r>
              <w:rPr>
                <w:rFonts w:hint="eastAsia"/>
                <w:color w:val="auto"/>
                <w:sz w:val="24"/>
                <w:szCs w:val="24"/>
              </w:rPr>
              <w:drawing>
                <wp:inline distT="0" distB="0" distL="0" distR="0">
                  <wp:extent cx="2446655" cy="1943100"/>
                  <wp:effectExtent l="0" t="0" r="1079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rcRect l="6504" t="3809" r="12595" b="10495"/>
                          <a:stretch>
                            <a:fillRect/>
                          </a:stretch>
                        </pic:blipFill>
                        <pic:spPr>
                          <a:xfrm>
                            <a:off x="0" y="0"/>
                            <a:ext cx="2466002" cy="1958296"/>
                          </a:xfrm>
                          <a:prstGeom prst="rect">
                            <a:avLst/>
                          </a:prstGeom>
                          <a:ln>
                            <a:noFill/>
                          </a:ln>
                        </pic:spPr>
                      </pic:pic>
                    </a:graphicData>
                  </a:graphic>
                </wp:inline>
              </w:drawing>
            </w:r>
          </w:p>
          <w:p>
            <w:pPr>
              <w:adjustRightInd w:val="0"/>
              <w:snapToGrid w:val="0"/>
              <w:spacing w:line="360" w:lineRule="auto"/>
              <w:jc w:val="center"/>
              <w:rPr>
                <w:rFonts w:hint="eastAsia"/>
                <w:b/>
                <w:bCs/>
                <w:color w:val="auto"/>
                <w:sz w:val="24"/>
                <w:szCs w:val="24"/>
              </w:rPr>
            </w:pPr>
            <w:r>
              <w:rPr>
                <w:rFonts w:hint="eastAsia"/>
                <w:color w:val="auto"/>
                <w:sz w:val="24"/>
                <w:szCs w:val="24"/>
              </w:rPr>
              <w:t>▲</w:t>
            </w:r>
            <w:r>
              <w:rPr>
                <w:rFonts w:hint="eastAsia"/>
                <w:b/>
                <w:bCs/>
                <w:color w:val="auto"/>
                <w:sz w:val="24"/>
                <w:szCs w:val="24"/>
              </w:rPr>
              <w:t>3. 提供《喷涂钢管》检测报告，检测依据：检验依据：GB/T 3325-2017《金属家具通用技术条件》，金属喷漆（塑）涂层 硬度≥H，耐腐蚀、抗盐雾检验符合检测要求。</w:t>
            </w:r>
          </w:p>
          <w:p>
            <w:pPr>
              <w:adjustRightInd w:val="0"/>
              <w:snapToGrid w:val="0"/>
              <w:spacing w:line="360" w:lineRule="auto"/>
              <w:jc w:val="center"/>
              <w:rPr>
                <w:rFonts w:hint="eastAsia" w:eastAsia="宋体"/>
                <w:color w:val="auto"/>
                <w:sz w:val="24"/>
                <w:szCs w:val="24"/>
                <w:lang w:eastAsia="zh-CN"/>
              </w:rPr>
            </w:pPr>
            <w:r>
              <w:rPr>
                <w:rFonts w:hint="eastAsia"/>
                <w:b/>
                <w:bCs/>
                <w:color w:val="auto"/>
                <w:sz w:val="24"/>
                <w:szCs w:val="24"/>
              </w:rPr>
              <w:t>必须符合检测要求。要求提供自2019年1月1日至本项目投标截止日前满足上述参数的由具有CMA或CNAS资质的质量检测机构出具的合格检验报告扫描件</w:t>
            </w:r>
            <w:r>
              <w:rPr>
                <w:rFonts w:hint="eastAsia"/>
                <w:b/>
                <w:bCs/>
                <w:color w:val="auto"/>
                <w:sz w:val="24"/>
                <w:szCs w:val="24"/>
                <w:lang w:eastAsia="zh-CN"/>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auto"/>
              <w:jc w:val="center"/>
              <w:rPr>
                <w:rFonts w:hint="eastAsia"/>
                <w:color w:val="auto"/>
                <w:sz w:val="24"/>
                <w:szCs w:val="24"/>
              </w:rPr>
            </w:pPr>
            <w:r>
              <w:rPr>
                <w:rFonts w:hint="eastAsia"/>
                <w:color w:val="auto"/>
                <w:sz w:val="24"/>
                <w:szCs w:val="24"/>
              </w:rPr>
              <w:t>1100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5" w:hRule="atLeast"/>
        </w:trPr>
        <w:tc>
          <w:tcPr>
            <w:tcW w:w="9067" w:type="dxa"/>
            <w:gridSpan w:val="4"/>
            <w:vAlign w:val="center"/>
          </w:tcPr>
          <w:p>
            <w:pPr>
              <w:adjustRightInd w:val="0"/>
              <w:snapToGrid w:val="0"/>
              <w:spacing w:line="360" w:lineRule="auto"/>
              <w:ind w:firstLine="480" w:firstLineChars="200"/>
              <w:jc w:val="center"/>
              <w:rPr>
                <w:color w:val="auto"/>
                <w:sz w:val="24"/>
                <w:szCs w:val="24"/>
              </w:rPr>
            </w:pPr>
            <w:r>
              <w:rPr>
                <w:rFonts w:hint="eastAsia"/>
                <w:color w:val="auto"/>
                <w:sz w:val="24"/>
                <w:szCs w:val="24"/>
              </w:rPr>
              <w:t>单项合计总价（元）：</w:t>
            </w:r>
          </w:p>
        </w:tc>
        <w:tc>
          <w:tcPr>
            <w:tcW w:w="1334" w:type="dxa"/>
            <w:vAlign w:val="center"/>
          </w:tcPr>
          <w:p>
            <w:pPr>
              <w:adjustRightInd w:val="0"/>
              <w:snapToGrid w:val="0"/>
              <w:spacing w:line="360" w:lineRule="auto"/>
              <w:jc w:val="center"/>
              <w:rPr>
                <w:color w:val="auto"/>
                <w:sz w:val="24"/>
                <w:szCs w:val="24"/>
              </w:rPr>
            </w:pPr>
            <w:r>
              <w:rPr>
                <w:color w:val="auto"/>
                <w:sz w:val="24"/>
                <w:szCs w:val="24"/>
              </w:rPr>
              <w:t>5735</w:t>
            </w:r>
          </w:p>
        </w:tc>
      </w:tr>
    </w:tbl>
    <w:p>
      <w:pPr>
        <w:adjustRightInd w:val="0"/>
        <w:snapToGrid w:val="0"/>
        <w:spacing w:before="468" w:beforeLines="150" w:line="360" w:lineRule="auto"/>
        <w:ind w:firstLine="480" w:firstLineChars="200"/>
        <w:rPr>
          <w:color w:val="auto"/>
          <w:sz w:val="24"/>
          <w:szCs w:val="24"/>
        </w:rPr>
      </w:pPr>
      <w:bookmarkStart w:id="1" w:name="_Hlk96438589"/>
      <w:r>
        <w:rPr>
          <w:rFonts w:hint="eastAsia"/>
          <w:color w:val="auto"/>
          <w:sz w:val="24"/>
          <w:szCs w:val="24"/>
        </w:rPr>
        <w:t>宿舍家具</w:t>
      </w:r>
      <w:bookmarkEnd w:id="1"/>
      <w:r>
        <w:rPr>
          <w:rFonts w:hint="eastAsia"/>
          <w:color w:val="auto"/>
          <w:sz w:val="24"/>
          <w:szCs w:val="24"/>
        </w:rPr>
        <w:t>款式1：</w:t>
      </w:r>
    </w:p>
    <w:p>
      <w:pPr>
        <w:adjustRightInd w:val="0"/>
        <w:snapToGrid w:val="0"/>
        <w:spacing w:line="360" w:lineRule="auto"/>
        <w:ind w:firstLine="480" w:firstLineChars="200"/>
        <w:rPr>
          <w:color w:val="auto"/>
          <w:sz w:val="24"/>
          <w:szCs w:val="24"/>
        </w:rPr>
      </w:pPr>
      <w:r>
        <w:rPr>
          <w:color w:val="auto"/>
          <w:sz w:val="24"/>
          <w:szCs w:val="24"/>
        </w:rPr>
        <w:drawing>
          <wp:inline distT="0" distB="0" distL="0" distR="0">
            <wp:extent cx="5734050" cy="4084320"/>
            <wp:effectExtent l="0" t="0" r="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extLst>
                        <a:ext uri="{28A0092B-C50C-407E-A947-70E740481C1C}">
                          <a14:useLocalDpi xmlns:a14="http://schemas.microsoft.com/office/drawing/2010/main" val="0"/>
                        </a:ext>
                      </a:extLst>
                    </a:blip>
                    <a:srcRect t="20027" b="26570"/>
                    <a:stretch>
                      <a:fillRect/>
                    </a:stretch>
                  </pic:blipFill>
                  <pic:spPr>
                    <a:xfrm>
                      <a:off x="0" y="0"/>
                      <a:ext cx="5768881" cy="4109180"/>
                    </a:xfrm>
                    <a:prstGeom prst="rect">
                      <a:avLst/>
                    </a:prstGeom>
                    <a:ln>
                      <a:noFill/>
                    </a:ln>
                  </pic:spPr>
                </pic:pic>
              </a:graphicData>
            </a:graphic>
          </wp:inline>
        </w:drawing>
      </w:r>
    </w:p>
    <w:p>
      <w:pPr>
        <w:adjustRightInd w:val="0"/>
        <w:snapToGrid w:val="0"/>
        <w:spacing w:line="360" w:lineRule="auto"/>
        <w:ind w:firstLine="480" w:firstLineChars="200"/>
        <w:rPr>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after="100" w:afterAutospacing="1" w:line="360" w:lineRule="auto"/>
        <w:ind w:firstLine="480" w:firstLineChars="200"/>
        <w:rPr>
          <w:rFonts w:hint="eastAsia"/>
          <w:color w:val="auto"/>
          <w:sz w:val="24"/>
          <w:szCs w:val="24"/>
        </w:rPr>
      </w:pPr>
    </w:p>
    <w:p>
      <w:pPr>
        <w:adjustRightInd w:val="0"/>
        <w:snapToGrid w:val="0"/>
        <w:spacing w:before="468" w:beforeLines="150" w:line="360" w:lineRule="auto"/>
        <w:ind w:firstLine="480" w:firstLineChars="200"/>
        <w:rPr>
          <w:rFonts w:hint="eastAsia" w:eastAsia="宋体"/>
          <w:color w:val="auto"/>
          <w:sz w:val="24"/>
          <w:szCs w:val="24"/>
          <w:lang w:val="en-US" w:eastAsia="zh-CN"/>
        </w:rPr>
      </w:pPr>
      <w:r>
        <w:rPr>
          <w:rFonts w:hint="eastAsia"/>
          <w:color w:val="auto"/>
          <w:sz w:val="24"/>
          <w:szCs w:val="24"/>
        </w:rPr>
        <w:t>宿舍家具款式2</w:t>
      </w:r>
      <w:r>
        <w:rPr>
          <w:rFonts w:hint="eastAsia"/>
          <w:color w:val="auto"/>
          <w:sz w:val="24"/>
          <w:szCs w:val="24"/>
          <w:lang w:eastAsia="zh-CN"/>
        </w:rPr>
        <w:t>：</w:t>
      </w:r>
    </w:p>
    <w:p>
      <w:pPr>
        <w:adjustRightInd w:val="0"/>
        <w:snapToGrid w:val="0"/>
        <w:spacing w:line="360" w:lineRule="auto"/>
        <w:ind w:firstLine="480" w:firstLineChars="200"/>
        <w:rPr>
          <w:color w:val="auto"/>
          <w:sz w:val="24"/>
          <w:szCs w:val="24"/>
        </w:rPr>
      </w:pPr>
      <w:r>
        <w:rPr>
          <w:rFonts w:hint="eastAsia"/>
          <w:color w:val="auto"/>
          <w:sz w:val="24"/>
          <w:szCs w:val="24"/>
        </w:rPr>
        <w:drawing>
          <wp:inline distT="0" distB="0" distL="0" distR="0">
            <wp:extent cx="5642610" cy="4745355"/>
            <wp:effectExtent l="0" t="0" r="152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extLst>
                        <a:ext uri="{28A0092B-C50C-407E-A947-70E740481C1C}">
                          <a14:useLocalDpi xmlns:a14="http://schemas.microsoft.com/office/drawing/2010/main" val="0"/>
                        </a:ext>
                      </a:extLst>
                    </a:blip>
                    <a:srcRect l="7320" t="36968" r="20036" b="19275"/>
                    <a:stretch>
                      <a:fillRect/>
                    </a:stretch>
                  </pic:blipFill>
                  <pic:spPr>
                    <a:xfrm>
                      <a:off x="0" y="0"/>
                      <a:ext cx="5642610" cy="4745355"/>
                    </a:xfrm>
                    <a:prstGeom prst="rect">
                      <a:avLst/>
                    </a:prstGeom>
                    <a:ln>
                      <a:noFill/>
                    </a:ln>
                  </pic:spPr>
                </pic:pic>
              </a:graphicData>
            </a:graphic>
          </wp:inline>
        </w:drawing>
      </w:r>
    </w:p>
    <w:p>
      <w:pPr>
        <w:adjustRightInd w:val="0"/>
        <w:snapToGrid w:val="0"/>
        <w:spacing w:line="360" w:lineRule="auto"/>
        <w:ind w:firstLine="480" w:firstLineChars="200"/>
        <w:rPr>
          <w:color w:val="auto"/>
          <w:sz w:val="24"/>
          <w:szCs w:val="24"/>
        </w:rPr>
      </w:pPr>
    </w:p>
    <w:p>
      <w:pPr>
        <w:tabs>
          <w:tab w:val="left" w:pos="1890"/>
        </w:tabs>
        <w:adjustRightInd w:val="0"/>
        <w:snapToGrid w:val="0"/>
        <w:spacing w:line="360" w:lineRule="auto"/>
        <w:ind w:firstLine="480" w:firstLineChars="200"/>
        <w:rPr>
          <w:color w:val="auto"/>
          <w:sz w:val="24"/>
          <w:szCs w:val="24"/>
        </w:rPr>
      </w:pPr>
      <w:r>
        <w:rPr>
          <w:color w:val="auto"/>
          <w:sz w:val="24"/>
          <w:szCs w:val="24"/>
        </w:rPr>
        <w:tab/>
      </w: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line="360" w:lineRule="auto"/>
        <w:ind w:firstLine="720" w:firstLineChars="300"/>
        <w:rPr>
          <w:color w:val="auto"/>
          <w:sz w:val="24"/>
          <w:szCs w:val="24"/>
        </w:rPr>
      </w:pPr>
    </w:p>
    <w:p>
      <w:pPr>
        <w:adjustRightInd w:val="0"/>
        <w:snapToGrid w:val="0"/>
        <w:spacing w:after="100" w:afterAutospacing="1" w:line="360" w:lineRule="auto"/>
        <w:rPr>
          <w:rFonts w:hint="eastAsia"/>
          <w:color w:val="auto"/>
          <w:sz w:val="24"/>
          <w:szCs w:val="24"/>
        </w:rPr>
      </w:pPr>
    </w:p>
    <w:p>
      <w:pPr>
        <w:adjustRightInd w:val="0"/>
        <w:snapToGrid w:val="0"/>
        <w:spacing w:after="100" w:afterAutospacing="1" w:line="360" w:lineRule="auto"/>
        <w:rPr>
          <w:rFonts w:hint="eastAsia"/>
          <w:color w:val="auto"/>
          <w:sz w:val="24"/>
          <w:szCs w:val="24"/>
        </w:rPr>
      </w:pPr>
    </w:p>
    <w:p>
      <w:pPr>
        <w:adjustRightInd w:val="0"/>
        <w:snapToGrid w:val="0"/>
        <w:spacing w:after="100" w:afterAutospacing="1" w:line="360" w:lineRule="auto"/>
        <w:rPr>
          <w:color w:val="auto"/>
          <w:sz w:val="24"/>
          <w:szCs w:val="24"/>
        </w:rPr>
      </w:pPr>
      <w:r>
        <w:rPr>
          <w:rFonts w:hint="eastAsia"/>
          <w:color w:val="auto"/>
          <w:sz w:val="24"/>
          <w:szCs w:val="24"/>
        </w:rPr>
        <w:t>（2）教师宿舍家具维修项目表</w:t>
      </w:r>
    </w:p>
    <w:tbl>
      <w:tblPr>
        <w:tblStyle w:val="5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1"/>
        <w:gridCol w:w="988"/>
        <w:gridCol w:w="1496"/>
        <w:gridCol w:w="4081"/>
        <w:gridCol w:w="1096"/>
        <w:gridCol w:w="1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881" w:type="dxa"/>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序号</w:t>
            </w:r>
          </w:p>
        </w:tc>
        <w:tc>
          <w:tcPr>
            <w:tcW w:w="988" w:type="dxa"/>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产品</w:t>
            </w:r>
          </w:p>
        </w:tc>
        <w:tc>
          <w:tcPr>
            <w:tcW w:w="1496" w:type="dxa"/>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维修项目</w:t>
            </w:r>
          </w:p>
        </w:tc>
        <w:tc>
          <w:tcPr>
            <w:tcW w:w="4081" w:type="dxa"/>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维修项目描述</w:t>
            </w:r>
          </w:p>
        </w:tc>
        <w:tc>
          <w:tcPr>
            <w:tcW w:w="1096" w:type="dxa"/>
            <w:noWrap/>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单位</w:t>
            </w:r>
          </w:p>
        </w:tc>
        <w:tc>
          <w:tcPr>
            <w:tcW w:w="1927" w:type="dxa"/>
            <w:vAlign w:val="center"/>
          </w:tcPr>
          <w:p>
            <w:pPr>
              <w:adjustRightInd w:val="0"/>
              <w:snapToGrid w:val="0"/>
              <w:spacing w:line="360" w:lineRule="auto"/>
              <w:jc w:val="center"/>
              <w:rPr>
                <w:rFonts w:asciiTheme="majorEastAsia" w:hAnsiTheme="majorEastAsia" w:eastAsiaTheme="majorEastAsia"/>
                <w:b/>
                <w:bCs/>
                <w:color w:val="auto"/>
                <w:sz w:val="24"/>
                <w:szCs w:val="24"/>
              </w:rPr>
            </w:pPr>
            <w:r>
              <w:rPr>
                <w:rFonts w:hint="eastAsia" w:asciiTheme="majorEastAsia" w:hAnsiTheme="majorEastAsia" w:eastAsiaTheme="majorEastAsia"/>
                <w:b/>
                <w:bCs/>
                <w:color w:val="auto"/>
                <w:sz w:val="24"/>
                <w:szCs w:val="24"/>
              </w:rPr>
              <w:t>控制单价（元）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办公椅</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color w:val="auto"/>
                <w:sz w:val="24"/>
                <w:szCs w:val="24"/>
              </w:rPr>
              <w:t>更换职员椅五星脚架、职员椅气压棒、更换职员椅轮子</w:t>
            </w:r>
            <w:r>
              <w:rPr>
                <w:rFonts w:hint="eastAsia" w:asciiTheme="majorEastAsia" w:hAnsiTheme="majorEastAsia" w:eastAsiaTheme="majorEastAsia"/>
                <w:color w:val="auto"/>
                <w:sz w:val="24"/>
                <w:szCs w:val="24"/>
                <w:lang w:eastAsia="zh-CN"/>
              </w:rPr>
              <w:t>。</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更换职员椅：优质网布，气压升降，工程塑料扶手。</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张</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2</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衣柜</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衣柜松动加固，调节上下门板间隙更换部分材料，拉手、门铰，路轨、挂衣杆、西裤架等。</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5"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衣柜整体更换，衣柜质量标准：衣柜隐型型边框铝合金趟门，铝合金厚1.2mm。                                1.板材为18mm厚普通胶合板，外贴枫木色（跟原有产品颜色相同）三聚氰胺浸渍纸饰面，后背板为16mm胶合板。                                                                                     2.柜身板封边采用厚度1mm以上PVC同色封边。                                                                 3. 成品符合 GB18584-2001、QB/T2741-2013 标准要求，板材达到国家E1级甲醛排放标准。</w:t>
            </w:r>
          </w:p>
        </w:tc>
        <w:tc>
          <w:tcPr>
            <w:tcW w:w="10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M2（按正面投影）</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衣柜整体更换，衣柜质量标准：柜门采用缓冲门铰。                                1.板材为18mm厚普通胶合板，外贴枫木色（跟原有产品颜色相同）三聚氰胺浸渍纸饰面，后背板为16mm胶合板。                                                                                     2.门板四边封铝合金边,柜身板封边采用厚度1mm以上PVC同色封边。                                                                 3. 成品符合 GB18584-2001、QB/T2741-2013 标准要求，板材达到国家E1级甲醛排放标准。</w:t>
            </w:r>
          </w:p>
        </w:tc>
        <w:tc>
          <w:tcPr>
            <w:tcW w:w="10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M2（按正面投影）</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书桌</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书桌板件松动加固，抽屉锁、门板拉手缺失，缺失出线盒，补失安装。</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5"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书桌质量标准：1.桌面使用 25㎜三聚氰氨胶合板，四边封2㎜PVC同色封边。其它板板18㎜三聚氰氨胶合板。2.抽屉导轨用不锈钢三节导轨，通过耐久性试验（80000次。3. 成品符合 GB18584-2001、QB/T2741-2013 标准要求，板材达到国家E1级甲醛排放标准。</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张</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4</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橱柜</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石英石台面板</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水槽漏水，重新安装水槽。</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次</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水龙头</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1、冷暖水龙头损坏，需要更换不锈钢304#龙头；</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进排水</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排水漏水，维修或更换下水器、进水管破损，更换进水管子；进水角阀漏水，更换不透钢角阀，</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更换门铰或调整门板间隙</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门板</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晶钢板，铝合金框。</w:t>
            </w:r>
          </w:p>
        </w:tc>
        <w:tc>
          <w:tcPr>
            <w:tcW w:w="1096" w:type="dxa"/>
            <w:noWrap/>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平方</w:t>
            </w:r>
          </w:p>
        </w:tc>
        <w:tc>
          <w:tcPr>
            <w:tcW w:w="1927"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w:t>
            </w:r>
            <w:r>
              <w:rPr>
                <w:rFonts w:asciiTheme="majorEastAsia" w:hAnsiTheme="majorEastAsia" w:eastAsiaTheme="majorEastAsia"/>
                <w:color w:val="auto"/>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吊柜</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柜体采用1</w:t>
            </w:r>
            <w:r>
              <w:rPr>
                <w:rFonts w:asciiTheme="majorEastAsia" w:hAnsiTheme="majorEastAsia" w:eastAsiaTheme="majorEastAsia"/>
                <w:color w:val="auto"/>
                <w:sz w:val="24"/>
                <w:szCs w:val="24"/>
              </w:rPr>
              <w:t>8mm</w:t>
            </w:r>
            <w:r>
              <w:rPr>
                <w:rFonts w:hint="eastAsia" w:asciiTheme="majorEastAsia" w:hAnsiTheme="majorEastAsia" w:eastAsiaTheme="majorEastAsia"/>
                <w:color w:val="auto"/>
                <w:sz w:val="24"/>
                <w:szCs w:val="24"/>
              </w:rPr>
              <w:t>胶合板，门板晶钢板</w:t>
            </w:r>
          </w:p>
        </w:tc>
        <w:tc>
          <w:tcPr>
            <w:tcW w:w="1096" w:type="dxa"/>
            <w:noWrap/>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延米</w:t>
            </w:r>
          </w:p>
        </w:tc>
        <w:tc>
          <w:tcPr>
            <w:tcW w:w="1927"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881"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地柜</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柜体采用1</w:t>
            </w:r>
            <w:r>
              <w:rPr>
                <w:rFonts w:asciiTheme="majorEastAsia" w:hAnsiTheme="majorEastAsia" w:eastAsiaTheme="majorEastAsia"/>
                <w:color w:val="auto"/>
                <w:sz w:val="24"/>
                <w:szCs w:val="24"/>
              </w:rPr>
              <w:t>8mm</w:t>
            </w:r>
            <w:r>
              <w:rPr>
                <w:rFonts w:hint="eastAsia" w:asciiTheme="majorEastAsia" w:hAnsiTheme="majorEastAsia" w:eastAsiaTheme="majorEastAsia"/>
                <w:color w:val="auto"/>
                <w:sz w:val="24"/>
                <w:szCs w:val="24"/>
              </w:rPr>
              <w:t>胶合板。门板晶钢板</w:t>
            </w:r>
          </w:p>
        </w:tc>
        <w:tc>
          <w:tcPr>
            <w:tcW w:w="1096" w:type="dxa"/>
            <w:noWrap/>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延米</w:t>
            </w:r>
          </w:p>
        </w:tc>
        <w:tc>
          <w:tcPr>
            <w:tcW w:w="1927"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8</w:t>
            </w:r>
            <w:r>
              <w:rPr>
                <w:rFonts w:asciiTheme="majorEastAsia" w:hAnsiTheme="majorEastAsia" w:eastAsiaTheme="majorEastAsia"/>
                <w:color w:val="auto"/>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trPr>
        <w:tc>
          <w:tcPr>
            <w:tcW w:w="8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w:t>
            </w:r>
          </w:p>
        </w:tc>
        <w:tc>
          <w:tcPr>
            <w:tcW w:w="988"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电视柜</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柜门调整，更换抽屉路轨</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6</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茶几</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抽屉损坏，更换路轨、拉手</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w:t>
            </w:r>
            <w:r>
              <w:rPr>
                <w:rFonts w:asciiTheme="majorEastAsia" w:hAnsiTheme="majorEastAsia" w:eastAsiaTheme="majorEastAsia"/>
                <w:color w:val="auto"/>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7" w:hRule="atLeast"/>
        </w:trPr>
        <w:tc>
          <w:tcPr>
            <w:tcW w:w="881"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规格：1</w:t>
            </w:r>
            <w:r>
              <w:rPr>
                <w:rFonts w:asciiTheme="majorEastAsia" w:hAnsiTheme="majorEastAsia" w:eastAsiaTheme="majorEastAsia"/>
                <w:color w:val="auto"/>
                <w:sz w:val="24"/>
                <w:szCs w:val="24"/>
              </w:rPr>
              <w:t>000*600*450</w:t>
            </w:r>
          </w:p>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茶几板采用1</w:t>
            </w:r>
            <w:r>
              <w:rPr>
                <w:rFonts w:asciiTheme="majorEastAsia" w:hAnsiTheme="majorEastAsia" w:eastAsiaTheme="majorEastAsia"/>
                <w:color w:val="auto"/>
                <w:sz w:val="24"/>
                <w:szCs w:val="24"/>
              </w:rPr>
              <w:t>8mm</w:t>
            </w:r>
            <w:r>
              <w:rPr>
                <w:rFonts w:hint="eastAsia" w:asciiTheme="majorEastAsia" w:hAnsiTheme="majorEastAsia" w:eastAsiaTheme="majorEastAsia"/>
                <w:color w:val="auto"/>
                <w:sz w:val="24"/>
                <w:szCs w:val="24"/>
              </w:rPr>
              <w:t>胶合板，左边两抽屉，右两空格。图示</w:t>
            </w:r>
          </w:p>
          <w:p>
            <w:pPr>
              <w:adjustRightInd w:val="0"/>
              <w:snapToGrid w:val="0"/>
              <w:spacing w:before="156" w:beforeLines="50" w:after="468" w:afterLines="150"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drawing>
                <wp:inline distT="0" distB="0" distL="0" distR="0">
                  <wp:extent cx="2367915" cy="1054100"/>
                  <wp:effectExtent l="0" t="0" r="1333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4268" cy="1074447"/>
                          </a:xfrm>
                          <a:prstGeom prst="rect">
                            <a:avLst/>
                          </a:prstGeom>
                        </pic:spPr>
                      </pic:pic>
                    </a:graphicData>
                  </a:graphic>
                </wp:inline>
              </w:drawing>
            </w:r>
          </w:p>
        </w:tc>
        <w:tc>
          <w:tcPr>
            <w:tcW w:w="1096" w:type="dxa"/>
            <w:noWrap/>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套</w:t>
            </w:r>
          </w:p>
        </w:tc>
        <w:tc>
          <w:tcPr>
            <w:tcW w:w="1927"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8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7</w:t>
            </w:r>
          </w:p>
        </w:tc>
        <w:tc>
          <w:tcPr>
            <w:tcW w:w="988"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实木沙发</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座位横条断裂，接博。</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w:t>
            </w:r>
            <w:r>
              <w:rPr>
                <w:rFonts w:asciiTheme="majorEastAsia" w:hAnsiTheme="majorEastAsia" w:eastAsiaTheme="majorEastAsia"/>
                <w:color w:val="auto"/>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trPr>
        <w:tc>
          <w:tcPr>
            <w:tcW w:w="8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8</w:t>
            </w:r>
          </w:p>
        </w:tc>
        <w:tc>
          <w:tcPr>
            <w:tcW w:w="988"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西皮沙发</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西皮老化、掉皮；座垫海棉变形。座垫可拆换。换座垫</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trPr>
        <w:tc>
          <w:tcPr>
            <w:tcW w:w="881"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9</w:t>
            </w:r>
          </w:p>
        </w:tc>
        <w:tc>
          <w:tcPr>
            <w:tcW w:w="988" w:type="dxa"/>
            <w:vMerge w:val="restart"/>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实木床</w:t>
            </w:r>
          </w:p>
        </w:tc>
        <w:tc>
          <w:tcPr>
            <w:tcW w:w="1496"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一般损坏</w:t>
            </w:r>
          </w:p>
        </w:tc>
        <w:tc>
          <w:tcPr>
            <w:tcW w:w="4081"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床铰松，加固上紧。</w:t>
            </w: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w:t>
            </w:r>
            <w:r>
              <w:rPr>
                <w:rFonts w:asciiTheme="majorEastAsia" w:hAnsiTheme="majorEastAsia" w:eastAsiaTheme="majorEastAsia"/>
                <w:color w:val="auto"/>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3" w:hRule="atLeast"/>
        </w:trPr>
        <w:tc>
          <w:tcPr>
            <w:tcW w:w="881"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规格：1</w:t>
            </w:r>
            <w:r>
              <w:rPr>
                <w:rFonts w:asciiTheme="majorEastAsia" w:hAnsiTheme="majorEastAsia" w:eastAsiaTheme="majorEastAsia"/>
                <w:color w:val="auto"/>
                <w:sz w:val="24"/>
                <w:szCs w:val="24"/>
              </w:rPr>
              <w:t>200*2100*1100</w:t>
            </w:r>
            <w:r>
              <w:rPr>
                <w:rFonts w:hint="eastAsia" w:asciiTheme="majorEastAsia" w:hAnsiTheme="majorEastAsia" w:eastAsiaTheme="majorEastAsia"/>
                <w:color w:val="auto"/>
                <w:sz w:val="24"/>
                <w:szCs w:val="24"/>
              </w:rPr>
              <w:t>（参考）</w:t>
            </w:r>
          </w:p>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实木油漆图示</w:t>
            </w:r>
          </w:p>
          <w:p>
            <w:pPr>
              <w:adjustRightInd w:val="0"/>
              <w:snapToGrid w:val="0"/>
              <w:spacing w:line="360" w:lineRule="auto"/>
              <w:jc w:val="center"/>
              <w:rPr>
                <w:rFonts w:hint="eastAsia"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drawing>
                <wp:inline distT="0" distB="0" distL="0" distR="0">
                  <wp:extent cx="1892300" cy="883920"/>
                  <wp:effectExtent l="0" t="0" r="1270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8139" cy="900865"/>
                          </a:xfrm>
                          <a:prstGeom prst="rect">
                            <a:avLst/>
                          </a:prstGeom>
                        </pic:spPr>
                      </pic:pic>
                    </a:graphicData>
                  </a:graphic>
                </wp:inline>
              </w:drawing>
            </w:r>
          </w:p>
          <w:p>
            <w:pPr>
              <w:adjustRightInd w:val="0"/>
              <w:snapToGrid w:val="0"/>
              <w:spacing w:line="360" w:lineRule="auto"/>
              <w:jc w:val="center"/>
              <w:rPr>
                <w:rFonts w:asciiTheme="majorEastAsia" w:hAnsiTheme="majorEastAsia" w:eastAsiaTheme="majorEastAsia"/>
                <w:color w:val="auto"/>
                <w:sz w:val="24"/>
                <w:szCs w:val="24"/>
              </w:rPr>
            </w:pP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张</w:t>
            </w: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w:t>
            </w:r>
            <w:r>
              <w:rPr>
                <w:rFonts w:asciiTheme="majorEastAsia" w:hAnsiTheme="majorEastAsia" w:eastAsiaTheme="majorEastAsia"/>
                <w:color w:val="auto"/>
                <w:sz w:val="24"/>
                <w:szCs w:val="24"/>
              </w:rPr>
              <w:t>200</w:t>
            </w:r>
            <w:r>
              <w:rPr>
                <w:rFonts w:hint="eastAsia" w:asciiTheme="majorEastAsia" w:hAnsiTheme="majorEastAsia" w:eastAsiaTheme="majorEastAsia"/>
                <w:color w:val="auto"/>
                <w:sz w:val="24"/>
                <w:szCs w:val="24"/>
              </w:rPr>
              <w:t>（不含床垫）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881"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988" w:type="dxa"/>
            <w:vMerge w:val="continue"/>
            <w:vAlign w:val="center"/>
          </w:tcPr>
          <w:p>
            <w:pPr>
              <w:adjustRightInd w:val="0"/>
              <w:snapToGrid w:val="0"/>
              <w:spacing w:line="360" w:lineRule="auto"/>
              <w:jc w:val="center"/>
              <w:rPr>
                <w:rFonts w:hint="eastAsia" w:asciiTheme="majorEastAsia" w:hAnsiTheme="majorEastAsia" w:eastAsiaTheme="majorEastAsia"/>
                <w:color w:val="auto"/>
                <w:sz w:val="24"/>
                <w:szCs w:val="24"/>
              </w:rPr>
            </w:pPr>
          </w:p>
        </w:tc>
        <w:tc>
          <w:tcPr>
            <w:tcW w:w="1496" w:type="dxa"/>
            <w:vAlign w:val="center"/>
          </w:tcPr>
          <w:p>
            <w:pPr>
              <w:adjustRightInd w:val="0"/>
              <w:snapToGrid w:val="0"/>
              <w:spacing w:line="360" w:lineRule="auto"/>
              <w:jc w:val="center"/>
              <w:rPr>
                <w:rFonts w:hint="eastAsia" w:asciiTheme="majorEastAsia" w:hAnsiTheme="majorEastAsia" w:eastAsiaTheme="majorEastAsia"/>
                <w:color w:val="auto"/>
                <w:sz w:val="24"/>
                <w:szCs w:val="24"/>
              </w:rPr>
            </w:pPr>
            <w:r>
              <w:rPr>
                <w:rFonts w:asciiTheme="majorEastAsia" w:hAnsiTheme="majorEastAsia" w:eastAsiaTheme="majorEastAsia"/>
                <w:color w:val="auto"/>
                <w:sz w:val="24"/>
                <w:szCs w:val="24"/>
              </w:rPr>
              <w:t>补充</w:t>
            </w:r>
          </w:p>
        </w:tc>
        <w:tc>
          <w:tcPr>
            <w:tcW w:w="4081"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规格：1</w:t>
            </w:r>
            <w:r>
              <w:rPr>
                <w:rFonts w:asciiTheme="majorEastAsia" w:hAnsiTheme="majorEastAsia" w:eastAsiaTheme="majorEastAsia"/>
                <w:color w:val="auto"/>
                <w:sz w:val="24"/>
                <w:szCs w:val="24"/>
              </w:rPr>
              <w:t>500*2100*1100</w:t>
            </w:r>
            <w:r>
              <w:rPr>
                <w:rFonts w:hint="eastAsia" w:asciiTheme="majorEastAsia" w:hAnsiTheme="majorEastAsia" w:eastAsiaTheme="majorEastAsia"/>
                <w:color w:val="auto"/>
                <w:sz w:val="24"/>
                <w:szCs w:val="24"/>
              </w:rPr>
              <w:t>（参考）</w:t>
            </w:r>
          </w:p>
          <w:p>
            <w:pPr>
              <w:adjustRightInd w:val="0"/>
              <w:snapToGrid w:val="0"/>
              <w:spacing w:line="360" w:lineRule="auto"/>
              <w:jc w:val="center"/>
              <w:rPr>
                <w:rFonts w:asciiTheme="majorEastAsia" w:hAnsiTheme="majorEastAsia" w:eastAsiaTheme="majorEastAsia"/>
                <w:color w:val="auto"/>
                <w:sz w:val="24"/>
                <w:szCs w:val="24"/>
              </w:rPr>
            </w:pP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927" w:type="dxa"/>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w:t>
            </w:r>
            <w:r>
              <w:rPr>
                <w:rFonts w:asciiTheme="majorEastAsia" w:hAnsiTheme="majorEastAsia" w:eastAsiaTheme="majorEastAsia"/>
                <w:color w:val="auto"/>
                <w:sz w:val="24"/>
                <w:szCs w:val="24"/>
              </w:rPr>
              <w:t>300</w:t>
            </w:r>
            <w:r>
              <w:rPr>
                <w:rFonts w:hint="eastAsia" w:asciiTheme="majorEastAsia" w:hAnsiTheme="majorEastAsia" w:eastAsiaTheme="majorEastAsia"/>
                <w:color w:val="auto"/>
                <w:sz w:val="24"/>
                <w:szCs w:val="24"/>
              </w:rPr>
              <w:t>（不含床垫）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881"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988"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4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4081"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p>
        </w:tc>
        <w:tc>
          <w:tcPr>
            <w:tcW w:w="1096"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合计</w:t>
            </w:r>
          </w:p>
        </w:tc>
        <w:tc>
          <w:tcPr>
            <w:tcW w:w="1927" w:type="dxa"/>
            <w:noWrap/>
            <w:vAlign w:val="center"/>
          </w:tcPr>
          <w:p>
            <w:pPr>
              <w:adjustRightInd w:val="0"/>
              <w:snapToGrid w:val="0"/>
              <w:spacing w:line="360" w:lineRule="auto"/>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11760</w:t>
            </w:r>
          </w:p>
        </w:tc>
      </w:tr>
    </w:tbl>
    <w:p>
      <w:pPr>
        <w:adjustRightInd w:val="0"/>
        <w:snapToGrid w:val="0"/>
        <w:spacing w:line="360" w:lineRule="auto"/>
        <w:ind w:firstLine="630" w:firstLineChars="300"/>
        <w:rPr>
          <w:color w:val="auto"/>
          <w:sz w:val="24"/>
          <w:szCs w:val="24"/>
        </w:rPr>
      </w:pPr>
      <w:r>
        <w:rPr>
          <w:color w:val="auto"/>
        </w:rPr>
        <w:fldChar w:fldCharType="begin"/>
      </w:r>
      <w:r>
        <w:rPr>
          <w:color w:val="auto"/>
        </w:rPr>
        <w:instrText xml:space="preserve"> </w:instrText>
      </w:r>
      <w:r>
        <w:rPr>
          <w:rFonts w:hint="eastAsia"/>
          <w:color w:val="auto"/>
        </w:rPr>
        <w:instrText xml:space="preserve">LINK </w:instrText>
      </w:r>
      <w:r>
        <w:rPr>
          <w:color w:val="auto"/>
        </w:rPr>
        <w:instrText xml:space="preserve">Excel.Sheet.12</w:instrText>
      </w:r>
      <w:r>
        <w:rPr>
          <w:rFonts w:hint="eastAsia"/>
          <w:color w:val="auto"/>
        </w:rPr>
        <w:instrText xml:space="preserve"> C:\\Users\\DELL5501\\Desktop\\广州南方学院\\老师宿舍家具维修项目.xlsx 老师宿舍家具!R2C1:R13C6 \a \f 4 \h</w:instrText>
      </w:r>
      <w:r>
        <w:rPr>
          <w:color w:val="auto"/>
        </w:rPr>
        <w:instrText xml:space="preserve">  \* MERGEFORMAT </w:instrText>
      </w:r>
      <w:r>
        <w:rPr>
          <w:color w:val="auto"/>
        </w:rPr>
        <w:fldChar w:fldCharType="separate"/>
      </w:r>
    </w:p>
    <w:p>
      <w:pPr>
        <w:adjustRightInd w:val="0"/>
        <w:snapToGrid w:val="0"/>
        <w:spacing w:line="360" w:lineRule="auto"/>
        <w:ind w:left="426"/>
        <w:rPr>
          <w:color w:val="auto"/>
          <w:sz w:val="24"/>
          <w:szCs w:val="24"/>
        </w:rPr>
      </w:pPr>
      <w:r>
        <w:rPr>
          <w:color w:val="auto"/>
          <w:sz w:val="24"/>
          <w:szCs w:val="24"/>
        </w:rPr>
        <w:fldChar w:fldCharType="end"/>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widowControl/>
        <w:jc w:val="left"/>
        <w:rPr>
          <w:color w:val="auto"/>
          <w:sz w:val="24"/>
          <w:szCs w:val="24"/>
        </w:rPr>
      </w:pPr>
    </w:p>
    <w:p>
      <w:pPr>
        <w:pStyle w:val="72"/>
        <w:numPr>
          <w:ilvl w:val="0"/>
          <w:numId w:val="7"/>
        </w:numPr>
        <w:adjustRightInd w:val="0"/>
        <w:snapToGrid w:val="0"/>
        <w:spacing w:line="360" w:lineRule="auto"/>
        <w:ind w:firstLineChars="0"/>
        <w:rPr>
          <w:color w:val="auto"/>
          <w:sz w:val="24"/>
          <w:szCs w:val="24"/>
        </w:rPr>
      </w:pPr>
      <w:bookmarkStart w:id="2" w:name="_Hlk93850504"/>
      <w:r>
        <w:rPr>
          <w:rFonts w:hint="eastAsia"/>
          <w:color w:val="auto"/>
          <w:sz w:val="24"/>
          <w:szCs w:val="24"/>
        </w:rPr>
        <w:t>教学家具维修项目表</w:t>
      </w:r>
    </w:p>
    <w:bookmarkEnd w:id="2"/>
    <w:tbl>
      <w:tblPr>
        <w:tblStyle w:val="56"/>
        <w:tblW w:w="4609" w:type="pct"/>
        <w:jc w:val="center"/>
        <w:tblLayout w:type="autofit"/>
        <w:tblCellMar>
          <w:top w:w="0" w:type="dxa"/>
          <w:left w:w="108" w:type="dxa"/>
          <w:bottom w:w="0" w:type="dxa"/>
          <w:right w:w="108" w:type="dxa"/>
        </w:tblCellMar>
      </w:tblPr>
      <w:tblGrid>
        <w:gridCol w:w="457"/>
        <w:gridCol w:w="695"/>
        <w:gridCol w:w="3161"/>
        <w:gridCol w:w="717"/>
        <w:gridCol w:w="3025"/>
        <w:gridCol w:w="939"/>
        <w:gridCol w:w="853"/>
      </w:tblGrid>
      <w:tr>
        <w:tblPrEx>
          <w:tblCellMar>
            <w:top w:w="0" w:type="dxa"/>
            <w:left w:w="108" w:type="dxa"/>
            <w:bottom w:w="0" w:type="dxa"/>
            <w:right w:w="108" w:type="dxa"/>
          </w:tblCellMar>
        </w:tblPrEx>
        <w:trPr>
          <w:trHeight w:val="358" w:hRule="atLeast"/>
          <w:tblHeader/>
          <w:jc w:val="center"/>
        </w:trPr>
        <w:tc>
          <w:tcPr>
            <w:tcW w:w="22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序号</w:t>
            </w:r>
          </w:p>
        </w:tc>
        <w:tc>
          <w:tcPr>
            <w:tcW w:w="36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维修项目</w:t>
            </w:r>
          </w:p>
        </w:tc>
        <w:tc>
          <w:tcPr>
            <w:tcW w:w="161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参考图片</w:t>
            </w: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损坏程度</w:t>
            </w:r>
          </w:p>
        </w:tc>
        <w:tc>
          <w:tcPr>
            <w:tcW w:w="1545" w:type="pct"/>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描述</w:t>
            </w:r>
          </w:p>
        </w:tc>
        <w:tc>
          <w:tcPr>
            <w:tcW w:w="442" w:type="pct"/>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控制单价（元）</w:t>
            </w:r>
          </w:p>
        </w:tc>
        <w:tc>
          <w:tcPr>
            <w:tcW w:w="442" w:type="pct"/>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cs="宋体" w:asciiTheme="majorEastAsia" w:hAnsiTheme="majorEastAsia" w:eastAsiaTheme="majorEastAsia"/>
                <w:b/>
                <w:color w:val="auto"/>
                <w:kern w:val="0"/>
                <w:sz w:val="24"/>
                <w:szCs w:val="24"/>
              </w:rPr>
            </w:pPr>
            <w:r>
              <w:rPr>
                <w:rFonts w:hint="eastAsia" w:cs="宋体" w:asciiTheme="majorEastAsia" w:hAnsiTheme="majorEastAsia" w:eastAsiaTheme="majorEastAsia"/>
                <w:b/>
                <w:color w:val="auto"/>
                <w:kern w:val="0"/>
                <w:sz w:val="24"/>
                <w:szCs w:val="24"/>
              </w:rPr>
              <w:t>单位</w:t>
            </w:r>
          </w:p>
        </w:tc>
      </w:tr>
      <w:tr>
        <w:tblPrEx>
          <w:tblCellMar>
            <w:top w:w="0" w:type="dxa"/>
            <w:left w:w="108" w:type="dxa"/>
            <w:bottom w:w="0" w:type="dxa"/>
            <w:right w:w="108" w:type="dxa"/>
          </w:tblCellMar>
        </w:tblPrEx>
        <w:trPr>
          <w:trHeight w:val="649"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中空板座板</w:t>
            </w:r>
          </w:p>
        </w:tc>
        <w:tc>
          <w:tcPr>
            <w:tcW w:w="1614" w:type="pct"/>
            <w:vMerge w:val="restart"/>
            <w:tcBorders>
              <w:top w:val="single" w:color="auto" w:sz="6" w:space="0"/>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drawing>
                <wp:inline distT="0" distB="0" distL="0" distR="0">
                  <wp:extent cx="1718945" cy="1851025"/>
                  <wp:effectExtent l="0" t="0" r="14605" b="158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1738128" cy="1871210"/>
                          </a:xfrm>
                          <a:prstGeom prst="rect">
                            <a:avLst/>
                          </a:prstGeom>
                        </pic:spPr>
                      </pic:pic>
                    </a:graphicData>
                  </a:graphic>
                </wp:inline>
              </w:drawing>
            </w:r>
          </w:p>
        </w:tc>
        <w:tc>
          <w:tcPr>
            <w:tcW w:w="373" w:type="pct"/>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座板固定螺丝松脱，缺失，补充螺丝并固定座板</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831"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无回弹力或无支撑力：回弹圈爆裂，扭簧损坏，螺丝断了或变形，左角码损坏等导致座板无法回弹或无支撑力。更换损坏件，恢复座板正常使用</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40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1410"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补充</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座板PP料老化起粉，座板缺失或爆裂，无法使用，更换座板</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w:t>
            </w:r>
            <w:r>
              <w:rPr>
                <w:rFonts w:cs="宋体" w:asciiTheme="majorEastAsia" w:hAnsiTheme="majorEastAsia" w:eastAsiaTheme="majorEastAsia"/>
                <w:color w:val="auto"/>
                <w:sz w:val="24"/>
                <w:szCs w:val="24"/>
              </w:rPr>
              <w:t>00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89"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2</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中空板背板</w:t>
            </w:r>
          </w:p>
        </w:tc>
        <w:tc>
          <w:tcPr>
            <w:tcW w:w="1614" w:type="pct"/>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背板固定螺丝松脱、缺失，补充螺丝并固定背板</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90"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6" w:space="0"/>
              <w:bottom w:val="single" w:color="auto" w:sz="4"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背板PP料老化起粉，背壳缺失或爆裂，更换背壳</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w:t>
            </w:r>
            <w:r>
              <w:rPr>
                <w:rFonts w:cs="宋体" w:asciiTheme="majorEastAsia" w:hAnsiTheme="majorEastAsia" w:eastAsiaTheme="majorEastAsia"/>
                <w:color w:val="auto"/>
                <w:sz w:val="24"/>
                <w:szCs w:val="24"/>
              </w:rPr>
              <w:t>00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77"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3</w:t>
            </w:r>
          </w:p>
        </w:tc>
        <w:tc>
          <w:tcPr>
            <w:tcW w:w="362" w:type="pct"/>
            <w:vMerge w:val="restar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台面板1</w:t>
            </w:r>
          </w:p>
        </w:tc>
        <w:tc>
          <w:tcPr>
            <w:tcW w:w="161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665605" cy="2438400"/>
                  <wp:effectExtent l="0" t="0" r="1079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72971" cy="2448570"/>
                          </a:xfrm>
                          <a:prstGeom prst="rect">
                            <a:avLst/>
                          </a:prstGeom>
                          <a:noFill/>
                          <a:ln>
                            <a:noFill/>
                          </a:ln>
                        </pic:spPr>
                      </pic:pic>
                    </a:graphicData>
                  </a:graphic>
                </wp:inline>
              </w:drawing>
            </w: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台面板松脱，封边条脱落，固定台面板或封边。</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707"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1、台面板防火板起泡，脱落，更换台面板</w:t>
            </w:r>
          </w:p>
          <w:p>
            <w:pPr>
              <w:autoSpaceDE w:val="0"/>
              <w:autoSpaceDN w:val="0"/>
              <w:adjustRightInd w:val="0"/>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w:t>
            </w:r>
            <w:r>
              <w:rPr>
                <w:rFonts w:hint="eastAsia" w:cs="宋体" w:asciiTheme="majorEastAsia" w:hAnsiTheme="majorEastAsia" w:eastAsiaTheme="majorEastAsia"/>
                <w:color w:val="auto"/>
                <w:sz w:val="24"/>
                <w:szCs w:val="24"/>
              </w:rPr>
              <w:t>2、投标人提供2019年以来由国家认可的质量监督检测机构出具的与本项目釆购同类的防火板的检测报告，产品检测合格。防火板的表面耐磨性能的磨耗值≤60mg/100r（检测依据符合GB/T 17657-2013标准）</w:t>
            </w:r>
          </w:p>
          <w:p>
            <w:pPr>
              <w:autoSpaceDE w:val="0"/>
              <w:autoSpaceDN w:val="0"/>
              <w:adjustRightInd w:val="0"/>
              <w:jc w:val="center"/>
              <w:rPr>
                <w:rFonts w:cs="宋体" w:asciiTheme="majorEastAsia" w:hAnsiTheme="majorEastAsia" w:eastAsiaTheme="majorEastAsia"/>
                <w:color w:val="auto"/>
                <w:sz w:val="24"/>
                <w:szCs w:val="24"/>
              </w:rPr>
            </w:pP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90</w:t>
            </w:r>
          </w:p>
        </w:tc>
        <w:tc>
          <w:tcPr>
            <w:tcW w:w="4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703" w:hRule="atLeast"/>
          <w:jc w:val="center"/>
        </w:trPr>
        <w:tc>
          <w:tcPr>
            <w:tcW w:w="22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4</w:t>
            </w:r>
          </w:p>
        </w:tc>
        <w:tc>
          <w:tcPr>
            <w:tcW w:w="362" w:type="pc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中抽铁网</w:t>
            </w: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铁网损坏，更换铁网</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40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667"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5</w:t>
            </w:r>
          </w:p>
        </w:tc>
        <w:tc>
          <w:tcPr>
            <w:tcW w:w="362" w:type="pct"/>
            <w:vMerge w:val="restar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前档板1</w:t>
            </w: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前档板松脱，固定前档板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747"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4" w:space="0"/>
              <w:left w:val="single" w:color="auto" w:sz="4"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前档板缺失，损坏严重，更换前档板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55</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677"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6</w:t>
            </w:r>
          </w:p>
        </w:tc>
        <w:tc>
          <w:tcPr>
            <w:tcW w:w="362" w:type="pct"/>
            <w:vMerge w:val="restar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钢管脚</w:t>
            </w:r>
          </w:p>
        </w:tc>
        <w:tc>
          <w:tcPr>
            <w:tcW w:w="1614" w:type="pct"/>
            <w:vMerge w:val="continue"/>
            <w:tcBorders>
              <w:left w:val="single" w:color="auto" w:sz="4"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nil"/>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w:t>
            </w:r>
            <w:bookmarkStart w:id="3" w:name="_GoBack"/>
            <w:bookmarkEnd w:id="3"/>
            <w:r>
              <w:rPr>
                <w:rFonts w:hint="eastAsia" w:cs="宋体" w:asciiTheme="majorEastAsia" w:hAnsiTheme="majorEastAsia" w:eastAsiaTheme="majorEastAsia"/>
                <w:color w:val="auto"/>
                <w:sz w:val="24"/>
                <w:szCs w:val="24"/>
              </w:rPr>
              <w:t>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固定课椅的爆炸螺丝松动，固定钢管脚</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559"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4"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钢管脚损坏，更换钢管脚</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110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781"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7</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实木座板</w:t>
            </w:r>
          </w:p>
        </w:tc>
        <w:tc>
          <w:tcPr>
            <w:tcW w:w="1614" w:type="pct"/>
            <w:vMerge w:val="restart"/>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143000" cy="1067435"/>
                  <wp:effectExtent l="0" t="0" r="0" b="18415"/>
                  <wp:docPr id="38" name="图片 38" descr="说明: IMG_20160909_16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IMG_20160909_163321"/>
                          <pic:cNvPicPr>
                            <a:picLocks noChangeAspect="1" noChangeArrowheads="1"/>
                          </pic:cNvPicPr>
                        </pic:nvPicPr>
                        <pic:blipFill>
                          <a:blip r:embed="rId19" cstate="print">
                            <a:extLst>
                              <a:ext uri="{28A0092B-C50C-407E-A947-70E740481C1C}">
                                <a14:useLocalDpi xmlns:a14="http://schemas.microsoft.com/office/drawing/2010/main" val="0"/>
                              </a:ext>
                            </a:extLst>
                          </a:blip>
                          <a:srcRect l="6140" t="20197" r="-6140" b="26767"/>
                          <a:stretch>
                            <a:fillRect/>
                          </a:stretch>
                        </pic:blipFill>
                        <pic:spPr>
                          <a:xfrm>
                            <a:off x="0" y="0"/>
                            <a:ext cx="1151668" cy="1075696"/>
                          </a:xfrm>
                          <a:prstGeom prst="rect">
                            <a:avLst/>
                          </a:prstGeom>
                          <a:noFill/>
                          <a:ln>
                            <a:noFill/>
                          </a:ln>
                        </pic:spPr>
                      </pic:pic>
                    </a:graphicData>
                  </a:graphic>
                </wp:inline>
              </w:drawing>
            </w: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座销脱落，座板脱落，装好座板，使能正常使用</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98"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座板断裂，更换座板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110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94"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8</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实木背板</w:t>
            </w:r>
          </w:p>
        </w:tc>
        <w:tc>
          <w:tcPr>
            <w:tcW w:w="1614"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183640" cy="1162685"/>
                  <wp:effectExtent l="0" t="0" r="16510" b="18415"/>
                  <wp:docPr id="37" name="图片 37" descr="说明: IMG_20160909_1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IMG_20160909_163329"/>
                          <pic:cNvPicPr>
                            <a:picLocks noChangeAspect="1" noChangeArrowheads="1"/>
                          </pic:cNvPicPr>
                        </pic:nvPicPr>
                        <pic:blipFill>
                          <a:blip r:embed="rId18" cstate="print">
                            <a:extLst>
                              <a:ext uri="{28A0092B-C50C-407E-A947-70E740481C1C}">
                                <a14:useLocalDpi xmlns:a14="http://schemas.microsoft.com/office/drawing/2010/main" val="0"/>
                              </a:ext>
                            </a:extLst>
                          </a:blip>
                          <a:srcRect t="29646" b="14778"/>
                          <a:stretch>
                            <a:fillRect/>
                          </a:stretch>
                        </pic:blipFill>
                        <pic:spPr>
                          <a:xfrm>
                            <a:off x="0" y="0"/>
                            <a:ext cx="1190204" cy="1169352"/>
                          </a:xfrm>
                          <a:prstGeom prst="rect">
                            <a:avLst/>
                          </a:prstGeom>
                          <a:noFill/>
                          <a:ln>
                            <a:noFill/>
                          </a:ln>
                        </pic:spPr>
                      </pic:pic>
                    </a:graphicData>
                  </a:graphic>
                </wp:inline>
              </w:drawing>
            </w:r>
          </w:p>
        </w:tc>
        <w:tc>
          <w:tcPr>
            <w:tcW w:w="373" w:type="pct"/>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背板固定螺丝松动，固定背板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95"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6" w:space="0"/>
              <w:left w:val="single" w:color="auto" w:sz="6" w:space="0"/>
              <w:bottom w:val="single" w:color="auto" w:sz="4"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背板断裂，更换背板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110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700" w:hRule="atLeast"/>
          <w:jc w:val="center"/>
        </w:trPr>
        <w:tc>
          <w:tcPr>
            <w:tcW w:w="222" w:type="pct"/>
            <w:vMerge w:val="restart"/>
            <w:tcBorders>
              <w:top w:val="nil"/>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9</w:t>
            </w:r>
          </w:p>
        </w:tc>
        <w:tc>
          <w:tcPr>
            <w:tcW w:w="362" w:type="pct"/>
            <w:vMerge w:val="restart"/>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台面板2</w:t>
            </w:r>
          </w:p>
        </w:tc>
        <w:tc>
          <w:tcPr>
            <w:tcW w:w="1614"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570355" cy="2083435"/>
                  <wp:effectExtent l="0" t="0" r="10795"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77935" cy="2093267"/>
                          </a:xfrm>
                          <a:prstGeom prst="rect">
                            <a:avLst/>
                          </a:prstGeom>
                          <a:noFill/>
                          <a:ln>
                            <a:noFill/>
                          </a:ln>
                        </pic:spPr>
                      </pic:pic>
                    </a:graphicData>
                  </a:graphic>
                </wp:inline>
              </w:drawing>
            </w: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台面板松脱，固定台面板；台面板掉色，补色。</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50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块</w:t>
            </w:r>
          </w:p>
        </w:tc>
      </w:tr>
      <w:tr>
        <w:tblPrEx>
          <w:tblCellMar>
            <w:top w:w="0" w:type="dxa"/>
            <w:left w:w="108" w:type="dxa"/>
            <w:bottom w:w="0" w:type="dxa"/>
            <w:right w:w="108" w:type="dxa"/>
          </w:tblCellMar>
        </w:tblPrEx>
        <w:trPr>
          <w:trHeight w:val="702" w:hRule="atLeast"/>
          <w:jc w:val="center"/>
        </w:trPr>
        <w:tc>
          <w:tcPr>
            <w:tcW w:w="0" w:type="auto"/>
            <w:vMerge w:val="continue"/>
            <w:tcBorders>
              <w:top w:val="nil"/>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1、台面板损坏已法使用，更换台面板，</w:t>
            </w:r>
          </w:p>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w:t>
            </w:r>
            <w:r>
              <w:rPr>
                <w:rFonts w:cs="宋体" w:asciiTheme="majorEastAsia" w:hAnsiTheme="majorEastAsia" w:eastAsiaTheme="majorEastAsia"/>
                <w:color w:val="auto"/>
                <w:sz w:val="24"/>
                <w:szCs w:val="24"/>
              </w:rPr>
              <w:t>2</w:t>
            </w:r>
            <w:r>
              <w:rPr>
                <w:rFonts w:hint="eastAsia" w:cs="宋体" w:asciiTheme="majorEastAsia" w:hAnsiTheme="majorEastAsia" w:eastAsiaTheme="majorEastAsia"/>
                <w:color w:val="auto"/>
                <w:sz w:val="24"/>
                <w:szCs w:val="24"/>
              </w:rPr>
              <w:t>、</w:t>
            </w:r>
            <w:r>
              <w:rPr>
                <w:rFonts w:asciiTheme="majorEastAsia" w:hAnsiTheme="majorEastAsia" w:eastAsiaTheme="majorEastAsia"/>
                <w:color w:val="auto"/>
                <w:sz w:val="24"/>
                <w:szCs w:val="24"/>
              </w:rPr>
              <w:t>水性油漆（含腻子</w:t>
            </w:r>
            <w:r>
              <w:rPr>
                <w:rFonts w:asciiTheme="majorEastAsia" w:hAnsiTheme="majorEastAsia" w:eastAsiaTheme="majorEastAsia"/>
                <w:color w:val="auto"/>
                <w:spacing w:val="-4"/>
                <w:sz w:val="24"/>
                <w:szCs w:val="24"/>
              </w:rPr>
              <w:t>）</w:t>
            </w:r>
            <w:r>
              <w:rPr>
                <w:rFonts w:asciiTheme="majorEastAsia" w:hAnsiTheme="majorEastAsia" w:eastAsiaTheme="majorEastAsia"/>
                <w:color w:val="auto"/>
                <w:spacing w:val="-24"/>
                <w:sz w:val="24"/>
                <w:szCs w:val="24"/>
              </w:rPr>
              <w:t xml:space="preserve">，其 </w:t>
            </w:r>
            <w:r>
              <w:rPr>
                <w:rFonts w:asciiTheme="majorEastAsia" w:hAnsiTheme="majorEastAsia" w:eastAsiaTheme="majorEastAsia"/>
                <w:color w:val="auto"/>
                <w:sz w:val="24"/>
                <w:szCs w:val="24"/>
              </w:rPr>
              <w:t>VOC</w:t>
            </w:r>
            <w:r>
              <w:rPr>
                <w:rFonts w:asciiTheme="majorEastAsia" w:hAnsiTheme="majorEastAsia" w:eastAsiaTheme="majorEastAsia"/>
                <w:color w:val="auto"/>
                <w:spacing w:val="-6"/>
                <w:sz w:val="24"/>
                <w:szCs w:val="24"/>
              </w:rPr>
              <w:t xml:space="preserve">、甲醛、苯系物总和含量等限量值，均符合或优于 </w:t>
            </w:r>
            <w:r>
              <w:rPr>
                <w:rFonts w:asciiTheme="majorEastAsia" w:hAnsiTheme="majorEastAsia" w:eastAsiaTheme="majorEastAsia"/>
                <w:color w:val="auto"/>
                <w:sz w:val="24"/>
                <w:szCs w:val="24"/>
              </w:rPr>
              <w:t>GB</w:t>
            </w:r>
            <w:r>
              <w:rPr>
                <w:rFonts w:asciiTheme="majorEastAsia" w:hAnsiTheme="majorEastAsia" w:eastAsiaTheme="majorEastAsia"/>
                <w:color w:val="auto"/>
                <w:spacing w:val="-66"/>
                <w:sz w:val="24"/>
                <w:szCs w:val="24"/>
              </w:rPr>
              <w:t xml:space="preserve"> </w:t>
            </w:r>
            <w:r>
              <w:rPr>
                <w:rFonts w:asciiTheme="majorEastAsia" w:hAnsiTheme="majorEastAsia" w:eastAsiaTheme="majorEastAsia"/>
                <w:color w:val="auto"/>
                <w:sz w:val="24"/>
                <w:szCs w:val="24"/>
              </w:rPr>
              <w:t>18581-2020</w:t>
            </w:r>
            <w:r>
              <w:rPr>
                <w:rFonts w:asciiTheme="majorEastAsia" w:hAnsiTheme="majorEastAsia" w:eastAsiaTheme="majorEastAsia"/>
                <w:color w:val="auto"/>
                <w:spacing w:val="-1"/>
                <w:sz w:val="24"/>
                <w:szCs w:val="24"/>
              </w:rPr>
              <w:t>《木器涂料中有害物质限量》的标</w:t>
            </w:r>
            <w:r>
              <w:rPr>
                <w:rFonts w:asciiTheme="majorEastAsia" w:hAnsiTheme="majorEastAsia" w:eastAsiaTheme="majorEastAsia"/>
                <w:color w:val="auto"/>
                <w:spacing w:val="-6"/>
                <w:sz w:val="24"/>
                <w:szCs w:val="24"/>
              </w:rPr>
              <w:t xml:space="preserve">准。须提供可在线查询满足上述参数要求的 </w:t>
            </w:r>
            <w:r>
              <w:rPr>
                <w:rFonts w:asciiTheme="majorEastAsia" w:hAnsiTheme="majorEastAsia" w:eastAsiaTheme="majorEastAsia"/>
                <w:color w:val="auto"/>
                <w:sz w:val="24"/>
                <w:szCs w:val="24"/>
              </w:rPr>
              <w:t>CMA（中国计量认证</w:t>
            </w:r>
            <w:r>
              <w:rPr>
                <w:rFonts w:asciiTheme="majorEastAsia" w:hAnsiTheme="majorEastAsia" w:eastAsiaTheme="majorEastAsia"/>
                <w:color w:val="auto"/>
                <w:spacing w:val="-5"/>
                <w:sz w:val="24"/>
                <w:szCs w:val="24"/>
              </w:rPr>
              <w:t>）</w:t>
            </w:r>
            <w:r>
              <w:rPr>
                <w:rFonts w:asciiTheme="majorEastAsia" w:hAnsiTheme="majorEastAsia" w:eastAsiaTheme="majorEastAsia"/>
                <w:color w:val="auto"/>
                <w:spacing w:val="-1"/>
                <w:sz w:val="24"/>
                <w:szCs w:val="24"/>
              </w:rPr>
              <w:t>认证标识的检测报告</w:t>
            </w:r>
            <w:r>
              <w:rPr>
                <w:rFonts w:hint="eastAsia" w:asciiTheme="majorEastAsia" w:hAnsiTheme="majorEastAsia" w:eastAsiaTheme="majorEastAsia"/>
                <w:color w:val="auto"/>
                <w:spacing w:val="-1"/>
                <w:sz w:val="24"/>
                <w:szCs w:val="24"/>
              </w:rPr>
              <w:t>。</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200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677" w:hRule="atLeast"/>
          <w:jc w:val="center"/>
        </w:trPr>
        <w:tc>
          <w:tcPr>
            <w:tcW w:w="222" w:type="pct"/>
            <w:tcBorders>
              <w:top w:val="nil"/>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10</w:t>
            </w:r>
          </w:p>
        </w:tc>
        <w:tc>
          <w:tcPr>
            <w:tcW w:w="362" w:type="pct"/>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中抽板</w:t>
            </w: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中抽板松脱，钉紧中抽板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629" w:hRule="atLeast"/>
          <w:jc w:val="center"/>
        </w:trPr>
        <w:tc>
          <w:tcPr>
            <w:tcW w:w="222" w:type="pct"/>
            <w:vMerge w:val="restart"/>
            <w:tcBorders>
              <w:top w:val="nil"/>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11</w:t>
            </w:r>
          </w:p>
        </w:tc>
        <w:tc>
          <w:tcPr>
            <w:tcW w:w="362" w:type="pct"/>
            <w:vMerge w:val="restart"/>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前档板2</w:t>
            </w: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前档板松脱，固定前档板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693" w:hRule="atLeast"/>
          <w:jc w:val="center"/>
        </w:trPr>
        <w:tc>
          <w:tcPr>
            <w:tcW w:w="0" w:type="auto"/>
            <w:vMerge w:val="continue"/>
            <w:tcBorders>
              <w:top w:val="nil"/>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前档板缺失，损坏严重，更换前档板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100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753" w:hRule="atLeast"/>
          <w:jc w:val="center"/>
        </w:trPr>
        <w:tc>
          <w:tcPr>
            <w:tcW w:w="222" w:type="pct"/>
            <w:tcBorders>
              <w:top w:val="nil"/>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12</w:t>
            </w:r>
          </w:p>
        </w:tc>
        <w:tc>
          <w:tcPr>
            <w:tcW w:w="362" w:type="pct"/>
            <w:tcBorders>
              <w:top w:val="nil"/>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抽屉侧板</w:t>
            </w:r>
          </w:p>
        </w:tc>
        <w:tc>
          <w:tcPr>
            <w:tcW w:w="1614" w:type="pct"/>
            <w:vMerge w:val="continue"/>
            <w:tcBorders>
              <w:top w:val="single" w:color="auto" w:sz="4" w:space="0"/>
              <w:left w:val="single" w:color="auto" w:sz="4"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p>
        </w:tc>
        <w:tc>
          <w:tcPr>
            <w:tcW w:w="373" w:type="pct"/>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钉紧抽屉侧板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位</w:t>
            </w:r>
          </w:p>
        </w:tc>
      </w:tr>
      <w:tr>
        <w:tblPrEx>
          <w:tblCellMar>
            <w:top w:w="0" w:type="dxa"/>
            <w:left w:w="108" w:type="dxa"/>
            <w:bottom w:w="0" w:type="dxa"/>
            <w:right w:w="108" w:type="dxa"/>
          </w:tblCellMar>
        </w:tblPrEx>
        <w:trPr>
          <w:trHeight w:val="598"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13</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扶手</w:t>
            </w:r>
          </w:p>
        </w:tc>
        <w:tc>
          <w:tcPr>
            <w:tcW w:w="1614"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301115" cy="906780"/>
                  <wp:effectExtent l="0" t="0" r="13335" b="7620"/>
                  <wp:docPr id="39" name="图片 39" descr="说明: IMG_20160909_16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IMG_20160909_163337"/>
                          <pic:cNvPicPr>
                            <a:picLocks noChangeAspect="1" noChangeArrowheads="1"/>
                          </pic:cNvPicPr>
                        </pic:nvPicPr>
                        <pic:blipFill>
                          <a:blip r:embed="rId30">
                            <a:extLst>
                              <a:ext uri="{28A0092B-C50C-407E-A947-70E740481C1C}">
                                <a14:useLocalDpi xmlns:a14="http://schemas.microsoft.com/office/drawing/2010/main" val="0"/>
                              </a:ext>
                            </a:extLst>
                          </a:blip>
                          <a:srcRect l="24463" t="13475" r="29695" b="30922"/>
                          <a:stretch>
                            <a:fillRect/>
                          </a:stretch>
                        </pic:blipFill>
                        <pic:spPr>
                          <a:xfrm>
                            <a:off x="0" y="0"/>
                            <a:ext cx="1316826" cy="917788"/>
                          </a:xfrm>
                          <a:prstGeom prst="rect">
                            <a:avLst/>
                          </a:prstGeom>
                          <a:noFill/>
                          <a:ln>
                            <a:noFill/>
                          </a:ln>
                        </pic:spPr>
                      </pic:pic>
                    </a:graphicData>
                  </a:graphic>
                </wp:inline>
              </w:drawing>
            </w: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4"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上紧螺丝，固定扶手</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358"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4"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损坏及缺失，更换或补充扶手</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633" w:hRule="atLeast"/>
          <w:jc w:val="center"/>
        </w:trPr>
        <w:tc>
          <w:tcPr>
            <w:tcW w:w="222"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15</w:t>
            </w:r>
          </w:p>
        </w:tc>
        <w:tc>
          <w:tcPr>
            <w:tcW w:w="362" w:type="pct"/>
            <w:vMerge w:val="restart"/>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铸铁脚</w:t>
            </w:r>
          </w:p>
        </w:tc>
        <w:tc>
          <w:tcPr>
            <w:tcW w:w="1614" w:type="pct"/>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020445" cy="1061720"/>
                  <wp:effectExtent l="0" t="0" r="8255"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31663" cy="1073272"/>
                          </a:xfrm>
                          <a:prstGeom prst="rect">
                            <a:avLst/>
                          </a:prstGeom>
                          <a:noFill/>
                          <a:ln>
                            <a:noFill/>
                          </a:ln>
                        </pic:spPr>
                      </pic:pic>
                    </a:graphicData>
                  </a:graphic>
                </wp:inline>
              </w:drawing>
            </w: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一般损坏</w:t>
            </w:r>
          </w:p>
        </w:tc>
        <w:tc>
          <w:tcPr>
            <w:tcW w:w="1545" w:type="pc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爆炸螺丝松动，固定铸铁脚</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asciiTheme="majorEastAsia" w:hAnsiTheme="majorEastAsia" w:eastAsiaTheme="majorEastAsia"/>
                <w:color w:val="auto"/>
                <w:sz w:val="24"/>
                <w:szCs w:val="24"/>
              </w:rPr>
              <w:t>30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827"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top w:val="single" w:color="auto" w:sz="6" w:space="0"/>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严重损坏或补充</w:t>
            </w:r>
          </w:p>
        </w:tc>
        <w:tc>
          <w:tcPr>
            <w:tcW w:w="1545" w:type="pct"/>
            <w:tcBorders>
              <w:top w:val="single" w:color="auto" w:sz="6" w:space="0"/>
              <w:left w:val="single" w:color="auto" w:sz="6" w:space="0"/>
              <w:bottom w:val="single" w:color="auto" w:sz="6"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铸铁脚损坏，更换铸铁脚</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90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827" w:hRule="atLeast"/>
          <w:jc w:val="center"/>
        </w:trPr>
        <w:tc>
          <w:tcPr>
            <w:tcW w:w="0" w:type="auto"/>
            <w:vMerge w:val="restart"/>
            <w:tcBorders>
              <w:top w:val="single" w:color="auto" w:sz="6" w:space="0"/>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1</w:t>
            </w:r>
            <w:r>
              <w:rPr>
                <w:rFonts w:cs="宋体" w:asciiTheme="majorEastAsia" w:hAnsiTheme="majorEastAsia" w:eastAsiaTheme="majorEastAsia"/>
                <w:color w:val="auto"/>
                <w:sz w:val="24"/>
                <w:szCs w:val="24"/>
              </w:rPr>
              <w:t>6</w:t>
            </w:r>
          </w:p>
        </w:tc>
        <w:tc>
          <w:tcPr>
            <w:tcW w:w="362" w:type="pct"/>
            <w:vMerge w:val="restart"/>
            <w:tcBorders>
              <w:top w:val="single" w:color="auto" w:sz="6" w:space="0"/>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培训椅</w:t>
            </w:r>
          </w:p>
        </w:tc>
        <w:tc>
          <w:tcPr>
            <w:tcW w:w="1614" w:type="pct"/>
            <w:vMerge w:val="restart"/>
            <w:tcBorders>
              <w:top w:val="single" w:color="auto" w:sz="6" w:space="0"/>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r>
              <w:rPr>
                <w:rFonts w:cs="宋体" w:asciiTheme="majorEastAsia" w:hAnsiTheme="majorEastAsia" w:eastAsiaTheme="majorEastAsia"/>
                <w:color w:val="auto"/>
                <w:sz w:val="24"/>
                <w:szCs w:val="24"/>
              </w:rPr>
              <w:drawing>
                <wp:inline distT="0" distB="0" distL="0" distR="0">
                  <wp:extent cx="1151890" cy="1536700"/>
                  <wp:effectExtent l="0" t="0" r="1016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61064" cy="1548690"/>
                          </a:xfrm>
                          <a:prstGeom prst="rect">
                            <a:avLst/>
                          </a:prstGeom>
                          <a:noFill/>
                          <a:ln>
                            <a:noFill/>
                          </a:ln>
                        </pic:spPr>
                      </pic:pic>
                    </a:graphicData>
                  </a:graphic>
                </wp:inline>
              </w:drawing>
            </w: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写字板</w:t>
            </w:r>
          </w:p>
        </w:tc>
        <w:tc>
          <w:tcPr>
            <w:tcW w:w="1545" w:type="pct"/>
            <w:tcBorders>
              <w:top w:val="single" w:color="auto" w:sz="6" w:space="0"/>
              <w:left w:val="single" w:color="auto" w:sz="6" w:space="0"/>
              <w:bottom w:val="single" w:color="auto" w:sz="6"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更换写字板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3</w:t>
            </w:r>
            <w:r>
              <w:rPr>
                <w:rFonts w:asciiTheme="majorEastAsia" w:hAnsiTheme="majorEastAsia" w:eastAsiaTheme="majorEastAsia"/>
                <w:color w:val="auto"/>
                <w:sz w:val="24"/>
                <w:szCs w:val="24"/>
              </w:rPr>
              <w:t>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827" w:hRule="atLeast"/>
          <w:jc w:val="center"/>
        </w:trPr>
        <w:tc>
          <w:tcPr>
            <w:tcW w:w="0" w:type="auto"/>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椅背、座</w:t>
            </w:r>
          </w:p>
        </w:tc>
        <w:tc>
          <w:tcPr>
            <w:tcW w:w="1545" w:type="pct"/>
            <w:tcBorders>
              <w:top w:val="single" w:color="auto" w:sz="6" w:space="0"/>
              <w:left w:val="single" w:color="auto" w:sz="6" w:space="0"/>
              <w:bottom w:val="single" w:color="auto" w:sz="6"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更换椅背</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4</w:t>
            </w:r>
            <w:r>
              <w:rPr>
                <w:rFonts w:asciiTheme="majorEastAsia" w:hAnsiTheme="majorEastAsia" w:eastAsiaTheme="majorEastAsia"/>
                <w:color w:val="auto"/>
                <w:sz w:val="24"/>
                <w:szCs w:val="24"/>
              </w:rPr>
              <w:t>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件</w:t>
            </w:r>
          </w:p>
        </w:tc>
      </w:tr>
      <w:tr>
        <w:tblPrEx>
          <w:tblCellMar>
            <w:top w:w="0" w:type="dxa"/>
            <w:left w:w="108" w:type="dxa"/>
            <w:bottom w:w="0" w:type="dxa"/>
            <w:right w:w="108" w:type="dxa"/>
          </w:tblCellMar>
        </w:tblPrEx>
        <w:trPr>
          <w:trHeight w:val="827" w:hRule="atLeast"/>
          <w:jc w:val="center"/>
        </w:trPr>
        <w:tc>
          <w:tcPr>
            <w:tcW w:w="0" w:type="auto"/>
            <w:vMerge w:val="continue"/>
            <w:tcBorders>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62" w:type="pct"/>
            <w:vMerge w:val="continue"/>
            <w:tcBorders>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1614" w:type="pct"/>
            <w:vMerge w:val="continue"/>
            <w:tcBorders>
              <w:left w:val="single" w:color="auto" w:sz="6" w:space="0"/>
              <w:bottom w:val="single" w:color="auto" w:sz="6" w:space="0"/>
              <w:right w:val="single" w:color="auto" w:sz="6" w:space="0"/>
            </w:tcBorders>
            <w:vAlign w:val="center"/>
          </w:tcPr>
          <w:p>
            <w:pPr>
              <w:jc w:val="center"/>
              <w:rPr>
                <w:rFonts w:cs="宋体" w:asciiTheme="majorEastAsia" w:hAnsiTheme="majorEastAsia" w:eastAsiaTheme="majorEastAsia"/>
                <w:color w:val="auto"/>
                <w:sz w:val="24"/>
                <w:szCs w:val="24"/>
              </w:rPr>
            </w:pPr>
          </w:p>
        </w:tc>
        <w:tc>
          <w:tcPr>
            <w:tcW w:w="3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椅</w:t>
            </w:r>
          </w:p>
        </w:tc>
        <w:tc>
          <w:tcPr>
            <w:tcW w:w="1545" w:type="pct"/>
            <w:tcBorders>
              <w:top w:val="single" w:color="auto" w:sz="6" w:space="0"/>
              <w:left w:val="single" w:color="auto" w:sz="6" w:space="0"/>
              <w:bottom w:val="single" w:color="auto" w:sz="6"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更换椅子，塑胶板，钢管主架，带可打开写字板。</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w:t>
            </w:r>
            <w:r>
              <w:rPr>
                <w:rFonts w:asciiTheme="majorEastAsia" w:hAnsiTheme="majorEastAsia" w:eastAsiaTheme="majorEastAsia"/>
                <w:color w:val="auto"/>
                <w:sz w:val="24"/>
                <w:szCs w:val="24"/>
              </w:rPr>
              <w:t>20</w:t>
            </w:r>
          </w:p>
        </w:tc>
        <w:tc>
          <w:tcPr>
            <w:tcW w:w="442"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张</w:t>
            </w:r>
          </w:p>
        </w:tc>
      </w:tr>
      <w:tr>
        <w:tblPrEx>
          <w:tblCellMar>
            <w:top w:w="0" w:type="dxa"/>
            <w:left w:w="108" w:type="dxa"/>
            <w:bottom w:w="0" w:type="dxa"/>
            <w:right w:w="108" w:type="dxa"/>
          </w:tblCellMar>
        </w:tblPrEx>
        <w:trPr>
          <w:trHeight w:val="628" w:hRule="atLeast"/>
          <w:jc w:val="center"/>
        </w:trPr>
        <w:tc>
          <w:tcPr>
            <w:tcW w:w="4115" w:type="pct"/>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 xml:space="preserve">单项合计总价（元）： </w:t>
            </w:r>
            <w:r>
              <w:rPr>
                <w:rFonts w:cs="宋体" w:asciiTheme="majorEastAsia" w:hAnsiTheme="majorEastAsia" w:eastAsiaTheme="majorEastAsia"/>
                <w:color w:val="auto"/>
                <w:sz w:val="24"/>
                <w:szCs w:val="24"/>
              </w:rPr>
              <w:t>1775</w:t>
            </w:r>
          </w:p>
        </w:tc>
        <w:tc>
          <w:tcPr>
            <w:tcW w:w="44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p>
        </w:tc>
        <w:tc>
          <w:tcPr>
            <w:tcW w:w="44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cs="宋体" w:asciiTheme="majorEastAsia" w:hAnsiTheme="majorEastAsia" w:eastAsiaTheme="majorEastAsia"/>
                <w:color w:val="auto"/>
                <w:sz w:val="24"/>
                <w:szCs w:val="24"/>
              </w:rPr>
            </w:pPr>
          </w:p>
        </w:tc>
      </w:tr>
    </w:tbl>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pStyle w:val="72"/>
        <w:adjustRightInd w:val="0"/>
        <w:snapToGrid w:val="0"/>
        <w:spacing w:line="360" w:lineRule="auto"/>
        <w:ind w:left="846" w:firstLine="0" w:firstLineChars="0"/>
        <w:rPr>
          <w:color w:val="auto"/>
          <w:sz w:val="24"/>
          <w:szCs w:val="24"/>
        </w:rPr>
      </w:pPr>
    </w:p>
    <w:p>
      <w:pPr>
        <w:widowControl w:val="0"/>
        <w:pBdr>
          <w:top w:val="none" w:color="auto" w:sz="0" w:space="1"/>
          <w:left w:val="none" w:color="auto" w:sz="0" w:space="4"/>
          <w:bottom w:val="none" w:color="auto" w:sz="0" w:space="1"/>
          <w:right w:val="none" w:color="auto" w:sz="0" w:space="4"/>
          <w:between w:val="none" w:color="auto" w:sz="0" w:space="0"/>
        </w:pBdr>
        <w:adjustRightInd w:val="0"/>
        <w:snapToGrid w:val="0"/>
        <w:spacing w:line="360" w:lineRule="auto"/>
        <w:jc w:val="both"/>
        <w:rPr>
          <w:color w:val="auto"/>
          <w:sz w:val="24"/>
          <w:szCs w:val="24"/>
        </w:rPr>
      </w:pPr>
    </w:p>
    <w:p>
      <w:pPr>
        <w:pStyle w:val="72"/>
        <w:numPr>
          <w:ilvl w:val="0"/>
          <w:numId w:val="7"/>
        </w:numPr>
        <w:adjustRightInd w:val="0"/>
        <w:snapToGrid w:val="0"/>
        <w:spacing w:line="360" w:lineRule="auto"/>
        <w:ind w:firstLineChars="0"/>
        <w:rPr>
          <w:color w:val="auto"/>
          <w:sz w:val="24"/>
          <w:szCs w:val="24"/>
        </w:rPr>
      </w:pPr>
      <w:r>
        <w:rPr>
          <w:rFonts w:hint="eastAsia"/>
          <w:color w:val="auto"/>
          <w:sz w:val="24"/>
          <w:szCs w:val="24"/>
        </w:rPr>
        <w:t>办公家具维修项目表</w:t>
      </w:r>
    </w:p>
    <w:tbl>
      <w:tblPr>
        <w:tblStyle w:val="56"/>
        <w:tblpPr w:leftFromText="180" w:rightFromText="180" w:vertAnchor="page" w:horzAnchor="page" w:tblpX="1037" w:tblpY="1442"/>
        <w:tblW w:w="10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353"/>
        <w:gridCol w:w="1627"/>
        <w:gridCol w:w="3256"/>
        <w:gridCol w:w="1133"/>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701" w:type="dxa"/>
            <w:tcBorders>
              <w:top w:val="single" w:color="auto" w:sz="4" w:space="0"/>
              <w:left w:val="threeDEmboss" w:color="auto" w:sz="6" w:space="0"/>
              <w:bottom w:val="single" w:color="auto" w:sz="4" w:space="0"/>
              <w:right w:val="single" w:color="auto" w:sz="4" w:space="0"/>
            </w:tcBorders>
            <w:shd w:val="clear" w:color="auto" w:fill="FFFFFF"/>
            <w:vAlign w:val="center"/>
          </w:tcPr>
          <w:p>
            <w:pPr>
              <w:tabs>
                <w:tab w:val="left" w:pos="690"/>
              </w:tabs>
              <w:jc w:val="center"/>
              <w:rPr>
                <w:rFonts w:hint="eastAsia" w:eastAsia="宋体"/>
                <w:b/>
                <w:color w:val="auto"/>
                <w:sz w:val="24"/>
                <w:szCs w:val="24"/>
                <w:lang w:val="en-US" w:eastAsia="zh-CN"/>
              </w:rPr>
            </w:pPr>
            <w:r>
              <w:rPr>
                <w:rFonts w:hint="eastAsia"/>
                <w:b/>
                <w:color w:val="auto"/>
                <w:sz w:val="24"/>
                <w:szCs w:val="24"/>
                <w:lang w:val="en-US" w:eastAsia="zh-CN"/>
              </w:rPr>
              <w:t>序号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690"/>
              </w:tabs>
              <w:jc w:val="center"/>
              <w:rPr>
                <w:b/>
                <w:color w:val="auto"/>
                <w:sz w:val="24"/>
                <w:szCs w:val="24"/>
              </w:rPr>
            </w:pPr>
            <w:r>
              <w:rPr>
                <w:rFonts w:hint="eastAsia"/>
                <w:b/>
                <w:color w:val="auto"/>
                <w:sz w:val="24"/>
                <w:szCs w:val="24"/>
              </w:rPr>
              <w:t>修缮项目</w:t>
            </w:r>
          </w:p>
        </w:tc>
        <w:tc>
          <w:tcPr>
            <w:tcW w:w="1627"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690"/>
              </w:tabs>
              <w:jc w:val="center"/>
              <w:rPr>
                <w:b/>
                <w:color w:val="auto"/>
                <w:sz w:val="24"/>
                <w:szCs w:val="24"/>
              </w:rPr>
            </w:pPr>
            <w:r>
              <w:rPr>
                <w:rFonts w:hint="eastAsia"/>
                <w:b/>
                <w:color w:val="auto"/>
                <w:sz w:val="24"/>
                <w:szCs w:val="24"/>
              </w:rPr>
              <w:t>损坏程度</w:t>
            </w:r>
          </w:p>
        </w:tc>
        <w:tc>
          <w:tcPr>
            <w:tcW w:w="3256" w:type="dxa"/>
            <w:tcBorders>
              <w:top w:val="single" w:color="auto" w:sz="4" w:space="0"/>
              <w:left w:val="single" w:color="auto" w:sz="4" w:space="0"/>
              <w:bottom w:val="single" w:color="auto" w:sz="4" w:space="0"/>
              <w:right w:val="single" w:color="auto" w:sz="4" w:space="0"/>
            </w:tcBorders>
            <w:shd w:val="clear" w:color="auto" w:fill="FFFFFF"/>
            <w:vAlign w:val="center"/>
          </w:tcPr>
          <w:p>
            <w:pPr>
              <w:tabs>
                <w:tab w:val="left" w:pos="690"/>
              </w:tabs>
              <w:jc w:val="center"/>
              <w:rPr>
                <w:b/>
                <w:color w:val="auto"/>
                <w:sz w:val="24"/>
                <w:szCs w:val="24"/>
              </w:rPr>
            </w:pPr>
            <w:r>
              <w:rPr>
                <w:rFonts w:hint="eastAsia"/>
                <w:b/>
                <w:color w:val="auto"/>
                <w:sz w:val="24"/>
                <w:szCs w:val="24"/>
              </w:rPr>
              <w:t>描述</w:t>
            </w:r>
          </w:p>
        </w:tc>
        <w:tc>
          <w:tcPr>
            <w:tcW w:w="1133" w:type="dxa"/>
            <w:tcBorders>
              <w:top w:val="single" w:color="auto" w:sz="4" w:space="0"/>
              <w:left w:val="single" w:color="auto" w:sz="4" w:space="0"/>
              <w:bottom w:val="single" w:color="auto" w:sz="4" w:space="0"/>
              <w:right w:val="double" w:color="auto" w:sz="4" w:space="0"/>
            </w:tcBorders>
            <w:shd w:val="clear" w:color="auto" w:fill="FFFFFF"/>
            <w:vAlign w:val="center"/>
          </w:tcPr>
          <w:p>
            <w:pPr>
              <w:tabs>
                <w:tab w:val="left" w:pos="690"/>
              </w:tabs>
              <w:jc w:val="center"/>
              <w:rPr>
                <w:b/>
                <w:color w:val="auto"/>
                <w:sz w:val="24"/>
                <w:szCs w:val="24"/>
              </w:rPr>
            </w:pPr>
            <w:r>
              <w:rPr>
                <w:rFonts w:hint="eastAsia"/>
                <w:b/>
                <w:color w:val="auto"/>
                <w:sz w:val="24"/>
                <w:szCs w:val="24"/>
              </w:rPr>
              <w:t>单价</w:t>
            </w:r>
            <w:r>
              <w:rPr>
                <w:b/>
                <w:color w:val="auto"/>
                <w:sz w:val="24"/>
                <w:szCs w:val="24"/>
              </w:rPr>
              <w:t>（元）</w:t>
            </w:r>
          </w:p>
        </w:tc>
        <w:tc>
          <w:tcPr>
            <w:tcW w:w="983" w:type="dxa"/>
            <w:tcBorders>
              <w:top w:val="single" w:color="auto" w:sz="4" w:space="0"/>
              <w:left w:val="double" w:color="auto" w:sz="4" w:space="0"/>
              <w:bottom w:val="single" w:color="auto" w:sz="4" w:space="0"/>
              <w:right w:val="threeDEmboss" w:color="auto" w:sz="6" w:space="0"/>
            </w:tcBorders>
            <w:shd w:val="clear" w:color="auto" w:fill="FFFFFF"/>
            <w:vAlign w:val="center"/>
          </w:tcPr>
          <w:p>
            <w:pPr>
              <w:tabs>
                <w:tab w:val="left" w:pos="690"/>
              </w:tabs>
              <w:jc w:val="center"/>
              <w:rPr>
                <w:b/>
                <w:color w:val="auto"/>
                <w:sz w:val="24"/>
                <w:szCs w:val="24"/>
              </w:rPr>
            </w:pPr>
            <w:r>
              <w:rPr>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实木椅子</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椅子松动，加角码、螺丝加固，</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color w:val="auto"/>
                <w:sz w:val="24"/>
                <w:szCs w:val="24"/>
              </w:rPr>
              <w:t>40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椅子活动轮</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活动轮损坏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活动轮更换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color w:val="auto"/>
                <w:sz w:val="24"/>
                <w:szCs w:val="24"/>
              </w:rPr>
              <w:t>40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椅子五星脚</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rFonts w:hint="eastAsia"/>
                <w:color w:val="auto"/>
                <w:sz w:val="24"/>
                <w:szCs w:val="24"/>
              </w:rPr>
              <w:t>80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椅气压棒</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rFonts w:hint="eastAsia"/>
                <w:color w:val="auto"/>
                <w:sz w:val="24"/>
                <w:szCs w:val="24"/>
              </w:rPr>
              <w:t>5</w:t>
            </w:r>
            <w:r>
              <w:rPr>
                <w:color w:val="auto"/>
                <w:sz w:val="24"/>
                <w:szCs w:val="24"/>
              </w:rPr>
              <w:t>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抽屉</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抽面，抽屉等维修及更换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rFonts w:hint="eastAsia"/>
                <w:color w:val="auto"/>
                <w:sz w:val="24"/>
                <w:szCs w:val="24"/>
              </w:rPr>
              <w:t>60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抽屉（掩门）锁</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抽屉锁更换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抽屉三联锁</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三联锁更换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拉手</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color w:val="auto"/>
                <w:sz w:val="24"/>
                <w:szCs w:val="24"/>
              </w:rPr>
            </w:pPr>
            <w:r>
              <w:rPr>
                <w:rFonts w:hint="eastAsia"/>
                <w:color w:val="auto"/>
                <w:sz w:val="24"/>
                <w:szCs w:val="24"/>
              </w:rPr>
              <w:t>拉手更换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color w:val="auto"/>
                <w:sz w:val="24"/>
                <w:szCs w:val="24"/>
              </w:rPr>
            </w:pPr>
            <w:r>
              <w:rPr>
                <w:color w:val="auto"/>
                <w:sz w:val="24"/>
                <w:szCs w:val="24"/>
              </w:rPr>
              <w:t>30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电脑键盘托</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严重损坏或补充</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电脑键盘托损坏严重，需更换东西较多或全部更换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color w:val="auto"/>
                <w:sz w:val="24"/>
                <w:szCs w:val="24"/>
              </w:rPr>
              <w:t>60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导轨</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rFonts w:asciiTheme="majorEastAsia" w:hAnsiTheme="majorEastAsia" w:eastAsiaTheme="majorEastAsia"/>
                <w:color w:val="auto"/>
                <w:sz w:val="24"/>
                <w:szCs w:val="24"/>
              </w:rPr>
            </w:pPr>
            <w:r>
              <w:rPr>
                <w:rFonts w:hint="eastAsia" w:asciiTheme="majorEastAsia" w:hAnsiTheme="majorEastAsia" w:eastAsiaTheme="majorEastAsia"/>
                <w:color w:val="auto"/>
                <w:sz w:val="24"/>
                <w:szCs w:val="24"/>
              </w:rPr>
              <w:t>1、更换，</w:t>
            </w:r>
          </w:p>
          <w:p>
            <w:pPr>
              <w:tabs>
                <w:tab w:val="left" w:pos="690"/>
              </w:tabs>
              <w:jc w:val="center"/>
              <w:rPr>
                <w:bCs/>
                <w:color w:val="auto"/>
                <w:sz w:val="24"/>
                <w:szCs w:val="24"/>
              </w:rPr>
            </w:pPr>
            <w:r>
              <w:rPr>
                <w:rFonts w:hint="eastAsia" w:asciiTheme="majorEastAsia" w:hAnsiTheme="majorEastAsia" w:eastAsiaTheme="majorEastAsia"/>
                <w:color w:val="auto"/>
                <w:sz w:val="24"/>
                <w:szCs w:val="24"/>
              </w:rPr>
              <w:t>▲</w:t>
            </w:r>
            <w:r>
              <w:rPr>
                <w:rFonts w:asciiTheme="majorEastAsia" w:hAnsiTheme="majorEastAsia" w:eastAsiaTheme="majorEastAsia"/>
                <w:bCs/>
                <w:color w:val="auto"/>
                <w:sz w:val="24"/>
                <w:szCs w:val="24"/>
              </w:rPr>
              <w:t>2</w:t>
            </w:r>
            <w:r>
              <w:rPr>
                <w:rFonts w:hint="eastAsia" w:asciiTheme="majorEastAsia" w:hAnsiTheme="majorEastAsia" w:eastAsiaTheme="majorEastAsia"/>
                <w:bCs/>
                <w:color w:val="auto"/>
                <w:sz w:val="24"/>
                <w:szCs w:val="24"/>
              </w:rPr>
              <w:t>、</w:t>
            </w:r>
            <w:r>
              <w:rPr>
                <w:rFonts w:asciiTheme="majorEastAsia" w:hAnsiTheme="majorEastAsia" w:eastAsiaTheme="majorEastAsia"/>
                <w:color w:val="auto"/>
                <w:sz w:val="24"/>
                <w:szCs w:val="24"/>
              </w:rPr>
              <w:t>导轨：三节导轨通过耐久性试验（</w:t>
            </w:r>
            <w:r>
              <w:rPr>
                <w:rFonts w:asciiTheme="majorEastAsia" w:hAnsiTheme="majorEastAsia" w:eastAsiaTheme="majorEastAsia"/>
                <w:color w:val="auto"/>
                <w:spacing w:val="-15"/>
                <w:sz w:val="24"/>
                <w:szCs w:val="24"/>
              </w:rPr>
              <w:t xml:space="preserve">商用型 </w:t>
            </w:r>
            <w:r>
              <w:rPr>
                <w:rFonts w:asciiTheme="majorEastAsia" w:hAnsiTheme="majorEastAsia" w:eastAsiaTheme="majorEastAsia"/>
                <w:color w:val="auto"/>
                <w:sz w:val="24"/>
                <w:szCs w:val="24"/>
              </w:rPr>
              <w:t>80000</w:t>
            </w:r>
            <w:r>
              <w:rPr>
                <w:rFonts w:asciiTheme="majorEastAsia" w:hAnsiTheme="majorEastAsia" w:eastAsiaTheme="majorEastAsia"/>
                <w:color w:val="auto"/>
                <w:spacing w:val="-28"/>
                <w:sz w:val="24"/>
                <w:szCs w:val="24"/>
              </w:rPr>
              <w:t xml:space="preserve"> 次</w:t>
            </w:r>
            <w:r>
              <w:rPr>
                <w:rFonts w:asciiTheme="majorEastAsia" w:hAnsiTheme="majorEastAsia" w:eastAsiaTheme="majorEastAsia"/>
                <w:color w:val="auto"/>
                <w:sz w:val="24"/>
                <w:szCs w:val="24"/>
              </w:rPr>
              <w:t>）</w:t>
            </w:r>
            <w:r>
              <w:rPr>
                <w:rFonts w:asciiTheme="majorEastAsia" w:hAnsiTheme="majorEastAsia" w:eastAsiaTheme="majorEastAsia"/>
                <w:color w:val="auto"/>
                <w:spacing w:val="-4"/>
                <w:sz w:val="24"/>
                <w:szCs w:val="24"/>
              </w:rPr>
              <w:t xml:space="preserve">，经防锈处理，其他性能均符合 </w:t>
            </w:r>
            <w:r>
              <w:rPr>
                <w:rFonts w:asciiTheme="majorEastAsia" w:hAnsiTheme="majorEastAsia" w:eastAsiaTheme="majorEastAsia"/>
                <w:color w:val="auto"/>
                <w:sz w:val="24"/>
                <w:szCs w:val="24"/>
              </w:rPr>
              <w:t>QB/T 2454-2013</w:t>
            </w:r>
            <w:r>
              <w:rPr>
                <w:rFonts w:asciiTheme="majorEastAsia" w:hAnsiTheme="majorEastAsia" w:eastAsiaTheme="majorEastAsia"/>
                <w:color w:val="auto"/>
                <w:spacing w:val="-1"/>
                <w:sz w:val="24"/>
                <w:szCs w:val="24"/>
              </w:rPr>
              <w:t>《家具五金 导轨》商</w:t>
            </w:r>
            <w:r>
              <w:rPr>
                <w:rFonts w:asciiTheme="majorEastAsia" w:hAnsiTheme="majorEastAsia" w:eastAsiaTheme="majorEastAsia"/>
                <w:color w:val="auto"/>
                <w:spacing w:val="-6"/>
                <w:sz w:val="24"/>
                <w:szCs w:val="24"/>
              </w:rPr>
              <w:t xml:space="preserve">用标准。须提供可在线查询满足上述参数要求的 </w:t>
            </w:r>
            <w:r>
              <w:rPr>
                <w:rFonts w:asciiTheme="majorEastAsia" w:hAnsiTheme="majorEastAsia" w:eastAsiaTheme="majorEastAsia"/>
                <w:color w:val="auto"/>
                <w:sz w:val="24"/>
                <w:szCs w:val="24"/>
              </w:rPr>
              <w:t>CMA（中国计量认证</w:t>
            </w:r>
            <w:r>
              <w:rPr>
                <w:rFonts w:asciiTheme="majorEastAsia" w:hAnsiTheme="majorEastAsia" w:eastAsiaTheme="majorEastAsia"/>
                <w:color w:val="auto"/>
                <w:spacing w:val="-5"/>
                <w:sz w:val="24"/>
                <w:szCs w:val="24"/>
              </w:rPr>
              <w:t>）</w:t>
            </w:r>
            <w:r>
              <w:rPr>
                <w:rFonts w:asciiTheme="majorEastAsia" w:hAnsiTheme="majorEastAsia" w:eastAsiaTheme="majorEastAsia"/>
                <w:color w:val="auto"/>
                <w:spacing w:val="-1"/>
                <w:sz w:val="24"/>
                <w:szCs w:val="24"/>
              </w:rPr>
              <w:t>认证标识的检测报告</w:t>
            </w:r>
            <w:r>
              <w:rPr>
                <w:rFonts w:hint="eastAsia" w:asciiTheme="majorEastAsia" w:hAnsiTheme="majorEastAsia" w:eastAsiaTheme="majorEastAsia"/>
                <w:color w:val="auto"/>
                <w:spacing w:val="-1"/>
                <w:sz w:val="24"/>
                <w:szCs w:val="24"/>
              </w:rPr>
              <w:t>。</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color w:val="auto"/>
                <w:sz w:val="24"/>
                <w:szCs w:val="24"/>
              </w:rPr>
              <w:t>40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柜子活动轮</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活动轮更换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color w:val="auto"/>
                <w:sz w:val="24"/>
                <w:szCs w:val="24"/>
              </w:rPr>
              <w:t>30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门铰</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松脱及损坏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rFonts w:ascii="宋体" w:hAnsi="宋体"/>
                <w:bCs/>
                <w:color w:val="auto"/>
                <w:sz w:val="24"/>
                <w:szCs w:val="24"/>
              </w:rPr>
            </w:pPr>
            <w:r>
              <w:rPr>
                <w:rFonts w:hint="eastAsia" w:ascii="宋体" w:hAnsi="宋体"/>
                <w:bCs/>
                <w:color w:val="auto"/>
                <w:sz w:val="24"/>
                <w:szCs w:val="24"/>
              </w:rPr>
              <w:t>1、更换</w:t>
            </w:r>
          </w:p>
          <w:p>
            <w:pPr>
              <w:tabs>
                <w:tab w:val="left" w:pos="690"/>
              </w:tabs>
              <w:jc w:val="center"/>
              <w:rPr>
                <w:bCs/>
                <w:color w:val="auto"/>
                <w:sz w:val="24"/>
                <w:szCs w:val="24"/>
              </w:rPr>
            </w:pPr>
            <w:r>
              <w:rPr>
                <w:rFonts w:hint="eastAsia" w:asciiTheme="majorEastAsia" w:hAnsiTheme="majorEastAsia" w:eastAsiaTheme="majorEastAsia"/>
                <w:color w:val="auto"/>
                <w:sz w:val="24"/>
                <w:szCs w:val="24"/>
              </w:rPr>
              <w:t>▲</w:t>
            </w:r>
            <w:r>
              <w:rPr>
                <w:rFonts w:hint="eastAsia" w:ascii="宋体" w:hAnsi="宋体"/>
                <w:bCs/>
                <w:color w:val="auto"/>
                <w:sz w:val="24"/>
                <w:szCs w:val="24"/>
              </w:rPr>
              <w:t>2、</w:t>
            </w:r>
            <w:r>
              <w:rPr>
                <w:rFonts w:ascii="宋体" w:hAnsi="宋体"/>
                <w:color w:val="auto"/>
                <w:sz w:val="24"/>
                <w:szCs w:val="24"/>
              </w:rPr>
              <w:t>缓冲铰链：铰链通过耐久性试验（</w:t>
            </w:r>
            <w:r>
              <w:rPr>
                <w:rFonts w:ascii="宋体" w:hAnsi="宋体"/>
                <w:color w:val="auto"/>
                <w:spacing w:val="-15"/>
                <w:sz w:val="24"/>
                <w:szCs w:val="24"/>
              </w:rPr>
              <w:t xml:space="preserve">商用型 </w:t>
            </w:r>
            <w:r>
              <w:rPr>
                <w:rFonts w:ascii="宋体" w:hAnsi="宋体"/>
                <w:color w:val="auto"/>
                <w:sz w:val="24"/>
                <w:szCs w:val="24"/>
              </w:rPr>
              <w:t>80000</w:t>
            </w:r>
            <w:r>
              <w:rPr>
                <w:rFonts w:ascii="宋体" w:hAnsi="宋体"/>
                <w:color w:val="auto"/>
                <w:spacing w:val="-28"/>
                <w:sz w:val="24"/>
                <w:szCs w:val="24"/>
              </w:rPr>
              <w:t xml:space="preserve"> 次</w:t>
            </w:r>
            <w:r>
              <w:rPr>
                <w:rFonts w:ascii="宋体" w:hAnsi="宋体"/>
                <w:color w:val="auto"/>
                <w:sz w:val="24"/>
                <w:szCs w:val="24"/>
              </w:rPr>
              <w:t>）</w:t>
            </w:r>
            <w:r>
              <w:rPr>
                <w:rFonts w:ascii="宋体" w:hAnsi="宋体"/>
                <w:color w:val="auto"/>
                <w:spacing w:val="-4"/>
                <w:sz w:val="24"/>
                <w:szCs w:val="24"/>
              </w:rPr>
              <w:t xml:space="preserve">，经防锈处理，其他性能均符合 </w:t>
            </w:r>
            <w:r>
              <w:rPr>
                <w:rFonts w:ascii="宋体" w:hAnsi="宋体"/>
                <w:color w:val="auto"/>
                <w:sz w:val="24"/>
                <w:szCs w:val="24"/>
              </w:rPr>
              <w:t>QB/T 2189-2013</w:t>
            </w:r>
            <w:r>
              <w:rPr>
                <w:rFonts w:ascii="宋体" w:hAnsi="宋体"/>
                <w:color w:val="auto"/>
                <w:spacing w:val="-1"/>
                <w:sz w:val="24"/>
                <w:szCs w:val="24"/>
              </w:rPr>
              <w:t>《家具五金 杯状暗铰链》</w:t>
            </w:r>
            <w:r>
              <w:rPr>
                <w:rFonts w:ascii="宋体" w:hAnsi="宋体"/>
                <w:color w:val="auto"/>
                <w:spacing w:val="-7"/>
                <w:sz w:val="24"/>
                <w:szCs w:val="24"/>
              </w:rPr>
              <w:t xml:space="preserve">标准。须提供可在线查询满足上述参数要求的 </w:t>
            </w:r>
            <w:r>
              <w:rPr>
                <w:rFonts w:ascii="宋体" w:hAnsi="宋体"/>
                <w:color w:val="auto"/>
                <w:sz w:val="24"/>
                <w:szCs w:val="24"/>
              </w:rPr>
              <w:t>CMA（中国计量认证</w:t>
            </w:r>
            <w:r>
              <w:rPr>
                <w:rFonts w:ascii="宋体" w:hAnsi="宋体"/>
                <w:color w:val="auto"/>
                <w:spacing w:val="-5"/>
                <w:sz w:val="24"/>
                <w:szCs w:val="24"/>
              </w:rPr>
              <w:t>）</w:t>
            </w:r>
            <w:r>
              <w:rPr>
                <w:rFonts w:ascii="宋体" w:hAnsi="宋体"/>
                <w:color w:val="auto"/>
                <w:spacing w:val="-1"/>
                <w:sz w:val="24"/>
                <w:szCs w:val="24"/>
              </w:rPr>
              <w:t>认证标识的检测报告</w:t>
            </w:r>
            <w:r>
              <w:rPr>
                <w:rFonts w:hint="eastAsia" w:ascii="宋体" w:hAnsi="宋体"/>
                <w:color w:val="auto"/>
                <w:spacing w:val="-1"/>
                <w:sz w:val="24"/>
                <w:szCs w:val="24"/>
              </w:rPr>
              <w:t>。</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color w:val="auto"/>
                <w:sz w:val="24"/>
                <w:szCs w:val="24"/>
              </w:rPr>
              <w:t>30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趟门轮</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30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趟门锁</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塑料出线盒</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文件柜单掩门锁</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文件柜双掩门天地锁</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损坏</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rFonts w:hint="eastAsia"/>
                <w:bCs/>
                <w:color w:val="auto"/>
                <w:sz w:val="24"/>
                <w:szCs w:val="24"/>
              </w:rPr>
              <w:t>50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会议椅皮座垫</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破损</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更换</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rFonts w:hint="eastAsia"/>
                <w:bCs/>
                <w:color w:val="auto"/>
                <w:sz w:val="24"/>
                <w:szCs w:val="24"/>
              </w:rPr>
              <w:t>4</w:t>
            </w:r>
            <w:r>
              <w:rPr>
                <w:bCs/>
                <w:color w:val="auto"/>
                <w:sz w:val="24"/>
                <w:szCs w:val="24"/>
              </w:rPr>
              <w:t>00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各类办公桌</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松动</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紧固</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100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会议台</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松动</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紧固</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100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大中班台、会议台</w:t>
            </w: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实木面划花</w:t>
            </w: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补漆</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rFonts w:hint="eastAsia"/>
                <w:bCs/>
                <w:color w:val="auto"/>
                <w:sz w:val="24"/>
                <w:szCs w:val="24"/>
              </w:rPr>
              <w:t>5</w:t>
            </w:r>
            <w:r>
              <w:rPr>
                <w:bCs/>
                <w:color w:val="auto"/>
                <w:sz w:val="24"/>
                <w:szCs w:val="24"/>
              </w:rPr>
              <w:t>00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rFonts w:hint="eastAsia"/>
                <w:bCs/>
                <w:color w:val="auto"/>
                <w:sz w:val="24"/>
                <w:szCs w:val="24"/>
              </w:rPr>
            </w:pPr>
            <w:r>
              <w:rPr>
                <w:rFonts w:hint="eastAsia"/>
                <w:bCs/>
                <w:color w:val="auto"/>
                <w:sz w:val="24"/>
                <w:szCs w:val="24"/>
              </w:rPr>
              <w:t>每块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1" w:type="dxa"/>
            <w:tcBorders>
              <w:top w:val="single" w:color="auto" w:sz="4" w:space="0"/>
              <w:left w:val="threeDEmboss" w:color="auto" w:sz="6" w:space="0"/>
              <w:bottom w:val="single" w:color="auto" w:sz="4" w:space="0"/>
              <w:right w:val="single" w:color="auto" w:sz="4" w:space="0"/>
            </w:tcBorders>
            <w:vAlign w:val="center"/>
          </w:tcPr>
          <w:p>
            <w:pPr>
              <w:numPr>
                <w:ilvl w:val="0"/>
                <w:numId w:val="8"/>
              </w:numPr>
              <w:tabs>
                <w:tab w:val="left" w:pos="690"/>
              </w:tabs>
              <w:ind w:left="170" w:leftChars="0" w:firstLineChars="0"/>
              <w:jc w:val="center"/>
              <w:rPr>
                <w:color w:val="auto"/>
                <w:sz w:val="24"/>
                <w:szCs w:val="24"/>
              </w:rPr>
            </w:pPr>
          </w:p>
        </w:tc>
        <w:tc>
          <w:tcPr>
            <w:tcW w:w="2353"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p>
        </w:tc>
        <w:tc>
          <w:tcPr>
            <w:tcW w:w="1627"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p>
        </w:tc>
        <w:tc>
          <w:tcPr>
            <w:tcW w:w="3256" w:type="dxa"/>
            <w:tcBorders>
              <w:top w:val="single" w:color="auto" w:sz="4" w:space="0"/>
              <w:left w:val="single" w:color="auto" w:sz="4" w:space="0"/>
              <w:bottom w:val="single" w:color="auto" w:sz="4" w:space="0"/>
              <w:right w:val="single" w:color="auto" w:sz="4" w:space="0"/>
            </w:tcBorders>
            <w:vAlign w:val="center"/>
          </w:tcPr>
          <w:p>
            <w:pPr>
              <w:tabs>
                <w:tab w:val="left" w:pos="690"/>
              </w:tabs>
              <w:jc w:val="center"/>
              <w:rPr>
                <w:bCs/>
                <w:color w:val="auto"/>
                <w:sz w:val="24"/>
                <w:szCs w:val="24"/>
              </w:rPr>
            </w:pPr>
            <w:r>
              <w:rPr>
                <w:rFonts w:hint="eastAsia"/>
                <w:bCs/>
                <w:color w:val="auto"/>
                <w:sz w:val="24"/>
                <w:szCs w:val="24"/>
              </w:rPr>
              <w:t>合计金额</w:t>
            </w:r>
          </w:p>
        </w:tc>
        <w:tc>
          <w:tcPr>
            <w:tcW w:w="1133" w:type="dxa"/>
            <w:tcBorders>
              <w:top w:val="single" w:color="auto" w:sz="4" w:space="0"/>
              <w:left w:val="single" w:color="auto" w:sz="4" w:space="0"/>
              <w:bottom w:val="single" w:color="auto" w:sz="4" w:space="0"/>
              <w:right w:val="double" w:color="auto" w:sz="4" w:space="0"/>
            </w:tcBorders>
            <w:vAlign w:val="center"/>
          </w:tcPr>
          <w:p>
            <w:pPr>
              <w:tabs>
                <w:tab w:val="left" w:pos="690"/>
              </w:tabs>
              <w:jc w:val="center"/>
              <w:rPr>
                <w:bCs/>
                <w:color w:val="auto"/>
                <w:sz w:val="24"/>
                <w:szCs w:val="24"/>
              </w:rPr>
            </w:pPr>
            <w:r>
              <w:rPr>
                <w:bCs/>
                <w:color w:val="auto"/>
                <w:sz w:val="24"/>
                <w:szCs w:val="24"/>
              </w:rPr>
              <w:t>1880</w:t>
            </w:r>
          </w:p>
        </w:tc>
        <w:tc>
          <w:tcPr>
            <w:tcW w:w="983" w:type="dxa"/>
            <w:tcBorders>
              <w:top w:val="single" w:color="auto" w:sz="4" w:space="0"/>
              <w:left w:val="double" w:color="auto" w:sz="4" w:space="0"/>
              <w:bottom w:val="single" w:color="auto" w:sz="4" w:space="0"/>
              <w:right w:val="threeDEmboss" w:color="auto" w:sz="6" w:space="0"/>
            </w:tcBorders>
            <w:vAlign w:val="center"/>
          </w:tcPr>
          <w:p>
            <w:pPr>
              <w:tabs>
                <w:tab w:val="left" w:pos="690"/>
              </w:tabs>
              <w:jc w:val="center"/>
              <w:rPr>
                <w:bCs/>
                <w:color w:val="auto"/>
                <w:sz w:val="24"/>
                <w:szCs w:val="24"/>
              </w:rPr>
            </w:pPr>
          </w:p>
        </w:tc>
      </w:tr>
    </w:tbl>
    <w:p>
      <w:pPr>
        <w:tabs>
          <w:tab w:val="left" w:pos="690"/>
        </w:tabs>
        <w:jc w:val="left"/>
        <w:rPr>
          <w:sz w:val="24"/>
          <w:szCs w:val="24"/>
          <w:u w:val="none"/>
        </w:rPr>
      </w:pPr>
    </w:p>
    <w:sectPr>
      <w:pgSz w:w="11906" w:h="16838"/>
      <w:pgMar w:top="720" w:right="720" w:bottom="720" w:left="720" w:header="737" w:footer="680" w:gutter="0"/>
      <w:pgBorders>
        <w:top w:val="none" w:sz="0" w:space="0"/>
        <w:left w:val="none" w:sz="0" w:space="0"/>
        <w:bottom w:val="none" w:sz="0" w:space="0"/>
        <w:right w:val="none" w:sz="0" w:space="0"/>
      </w:pgBorders>
      <w:pgNumType w:start="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b/>
        <w:i/>
      </w:rPr>
    </w:pPr>
    <w:r>
      <w:rPr>
        <w:rStyle w:val="60"/>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jc w:val="both"/>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decimal"/>
      <w:pStyle w:val="78"/>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4F151D3"/>
    <w:multiLevelType w:val="multilevel"/>
    <w:tmpl w:val="04F151D3"/>
    <w:lvl w:ilvl="0" w:tentative="0">
      <w:start w:val="4"/>
      <w:numFmt w:val="decimal"/>
      <w:lvlText w:val="%1"/>
      <w:lvlJc w:val="left"/>
      <w:pPr>
        <w:tabs>
          <w:tab w:val="left" w:pos="840"/>
        </w:tabs>
        <w:ind w:left="840" w:hanging="840"/>
      </w:pPr>
      <w:rPr>
        <w:rFonts w:hint="eastAsia"/>
      </w:rPr>
    </w:lvl>
    <w:lvl w:ilvl="1" w:tentative="0">
      <w:start w:val="2"/>
      <w:numFmt w:val="decimal"/>
      <w:pStyle w:val="162"/>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2">
    <w:nsid w:val="2A110AF0"/>
    <w:multiLevelType w:val="multilevel"/>
    <w:tmpl w:val="2A110AF0"/>
    <w:lvl w:ilvl="0" w:tentative="0">
      <w:start w:val="1"/>
      <w:numFmt w:val="decimal"/>
      <w:lvlText w:val="%1."/>
      <w:lvlJc w:val="left"/>
      <w:pPr>
        <w:tabs>
          <w:tab w:val="left" w:pos="425"/>
        </w:tabs>
        <w:ind w:left="425" w:hanging="425"/>
      </w:pPr>
      <w:rPr>
        <w:rFonts w:hint="eastAsia"/>
      </w:rPr>
    </w:lvl>
    <w:lvl w:ilvl="1" w:tentative="0">
      <w:start w:val="1"/>
      <w:numFmt w:val="decimal"/>
      <w:pStyle w:val="157"/>
      <w:lvlText w:val="%1.%2."/>
      <w:lvlJc w:val="left"/>
      <w:pPr>
        <w:tabs>
          <w:tab w:val="left" w:pos="567"/>
        </w:tabs>
        <w:ind w:left="567" w:hanging="567"/>
      </w:pPr>
      <w:rPr>
        <w:rFonts w:hint="eastAsia"/>
      </w:rPr>
    </w:lvl>
    <w:lvl w:ilvl="2" w:tentative="0">
      <w:start w:val="1"/>
      <w:numFmt w:val="decimal"/>
      <w:lvlText w:val="%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4">
    <w:nsid w:val="3BDD4927"/>
    <w:multiLevelType w:val="multilevel"/>
    <w:tmpl w:val="3BDD4927"/>
    <w:lvl w:ilvl="0" w:tentative="0">
      <w:start w:val="1"/>
      <w:numFmt w:val="bullet"/>
      <w:pStyle w:val="158"/>
      <w:lvlText w:val=""/>
      <w:lvlJc w:val="left"/>
      <w:pPr>
        <w:tabs>
          <w:tab w:val="left" w:pos="1680"/>
        </w:tabs>
        <w:ind w:left="1680" w:hanging="420"/>
      </w:pPr>
      <w:rPr>
        <w:rFonts w:hint="default" w:ascii="Wingdings" w:hAnsi="Wingdings"/>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5">
    <w:nsid w:val="44121AA6"/>
    <w:multiLevelType w:val="multilevel"/>
    <w:tmpl w:val="44121AA6"/>
    <w:lvl w:ilvl="0" w:tentative="0">
      <w:start w:val="1"/>
      <w:numFmt w:val="decimal"/>
      <w:pStyle w:val="182"/>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69637D6"/>
    <w:multiLevelType w:val="multilevel"/>
    <w:tmpl w:val="569637D6"/>
    <w:lvl w:ilvl="0" w:tentative="0">
      <w:start w:val="1"/>
      <w:numFmt w:val="decimal"/>
      <w:lvlText w:val="%1"/>
      <w:lvlJc w:val="left"/>
      <w:pPr>
        <w:tabs>
          <w:tab w:val="left" w:pos="170"/>
        </w:tabs>
        <w:ind w:left="170" w:hanging="170"/>
      </w:pPr>
      <w:rPr>
        <w:rFonts w:hint="default" w:ascii="Times New Roman" w:hAnsi="Times New Roman" w:eastAsia="宋体" w:cs="Times New Roman"/>
        <w:spacing w:val="-20"/>
        <w:kern w:val="2"/>
        <w:position w:val="0"/>
      </w:rPr>
    </w:lvl>
    <w:lvl w:ilvl="1" w:tentative="0">
      <w:start w:val="1"/>
      <w:numFmt w:val="decimal"/>
      <w:lvlText w:val="%2."/>
      <w:lvlJc w:val="left"/>
      <w:pPr>
        <w:tabs>
          <w:tab w:val="left" w:pos="1440"/>
        </w:tabs>
        <w:ind w:left="1650" w:hanging="360"/>
      </w:pPr>
    </w:lvl>
    <w:lvl w:ilvl="2" w:tentative="0">
      <w:start w:val="1"/>
      <w:numFmt w:val="decimal"/>
      <w:lvlText w:val="%3."/>
      <w:lvlJc w:val="left"/>
      <w:pPr>
        <w:tabs>
          <w:tab w:val="left" w:pos="2160"/>
        </w:tabs>
        <w:ind w:left="2370" w:hanging="360"/>
      </w:pPr>
    </w:lvl>
    <w:lvl w:ilvl="3" w:tentative="0">
      <w:start w:val="1"/>
      <w:numFmt w:val="decimal"/>
      <w:lvlText w:val="%4."/>
      <w:lvlJc w:val="left"/>
      <w:pPr>
        <w:tabs>
          <w:tab w:val="left" w:pos="2880"/>
        </w:tabs>
        <w:ind w:left="3090" w:hanging="360"/>
      </w:pPr>
    </w:lvl>
    <w:lvl w:ilvl="4" w:tentative="0">
      <w:start w:val="1"/>
      <w:numFmt w:val="decimal"/>
      <w:lvlText w:val="%5."/>
      <w:lvlJc w:val="left"/>
      <w:pPr>
        <w:tabs>
          <w:tab w:val="left" w:pos="3600"/>
        </w:tabs>
        <w:ind w:left="3810" w:hanging="360"/>
      </w:pPr>
    </w:lvl>
    <w:lvl w:ilvl="5" w:tentative="0">
      <w:start w:val="1"/>
      <w:numFmt w:val="decimal"/>
      <w:lvlText w:val="%6."/>
      <w:lvlJc w:val="left"/>
      <w:pPr>
        <w:tabs>
          <w:tab w:val="left" w:pos="4320"/>
        </w:tabs>
        <w:ind w:left="4530" w:hanging="360"/>
      </w:pPr>
    </w:lvl>
    <w:lvl w:ilvl="6" w:tentative="0">
      <w:start w:val="1"/>
      <w:numFmt w:val="decimal"/>
      <w:lvlText w:val="%7."/>
      <w:lvlJc w:val="left"/>
      <w:pPr>
        <w:tabs>
          <w:tab w:val="left" w:pos="5040"/>
        </w:tabs>
        <w:ind w:left="5250" w:hanging="360"/>
      </w:pPr>
    </w:lvl>
    <w:lvl w:ilvl="7" w:tentative="0">
      <w:start w:val="1"/>
      <w:numFmt w:val="decimal"/>
      <w:lvlText w:val="%8."/>
      <w:lvlJc w:val="left"/>
      <w:pPr>
        <w:tabs>
          <w:tab w:val="left" w:pos="5760"/>
        </w:tabs>
        <w:ind w:left="5970" w:hanging="360"/>
      </w:pPr>
    </w:lvl>
    <w:lvl w:ilvl="8" w:tentative="0">
      <w:start w:val="1"/>
      <w:numFmt w:val="decimal"/>
      <w:lvlText w:val="%9."/>
      <w:lvlJc w:val="left"/>
      <w:pPr>
        <w:tabs>
          <w:tab w:val="left" w:pos="6480"/>
        </w:tabs>
        <w:ind w:left="6690" w:hanging="360"/>
      </w:pPr>
    </w:lvl>
  </w:abstractNum>
  <w:abstractNum w:abstractNumId="7">
    <w:nsid w:val="77443F2C"/>
    <w:multiLevelType w:val="multilevel"/>
    <w:tmpl w:val="77443F2C"/>
    <w:lvl w:ilvl="0" w:tentative="0">
      <w:start w:val="1"/>
      <w:numFmt w:val="decimal"/>
      <w:lvlText w:val="（%1）"/>
      <w:lvlJc w:val="left"/>
      <w:pPr>
        <w:ind w:left="846" w:hanging="420"/>
      </w:pPr>
      <w:rPr>
        <w:rFonts w:hint="default"/>
      </w:rPr>
    </w:lvl>
    <w:lvl w:ilvl="1" w:tentative="0">
      <w:start w:val="1"/>
      <w:numFmt w:val="upperLetter"/>
      <w:lvlText w:val="%2."/>
      <w:lvlJc w:val="left"/>
      <w:pPr>
        <w:ind w:left="1266" w:hanging="420"/>
      </w:pPr>
      <w:rPr>
        <w:rFonts w:hint="default"/>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num w:numId="1">
    <w:abstractNumId w:val="3"/>
  </w:num>
  <w:num w:numId="2">
    <w:abstractNumId w:val="0"/>
  </w:num>
  <w:num w:numId="3">
    <w:abstractNumId w:val="2"/>
  </w:num>
  <w:num w:numId="4">
    <w:abstractNumId w:val="4"/>
  </w:num>
  <w:num w:numId="5">
    <w:abstractNumId w:val="1"/>
  </w:num>
  <w:num w:numId="6">
    <w:abstractNumId w:val="5"/>
  </w:num>
  <w:num w:numId="7">
    <w:abstractNumId w:val="7"/>
  </w:num>
  <w:num w:numId="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6"/>
  <w:displayHorizontalDrawingGridEvery w:val="1"/>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1E0"/>
    <w:rsid w:val="0000476B"/>
    <w:rsid w:val="000066D1"/>
    <w:rsid w:val="000070F1"/>
    <w:rsid w:val="00007BC4"/>
    <w:rsid w:val="0001190F"/>
    <w:rsid w:val="00012C9C"/>
    <w:rsid w:val="00015AD7"/>
    <w:rsid w:val="00016515"/>
    <w:rsid w:val="00017E7B"/>
    <w:rsid w:val="00024007"/>
    <w:rsid w:val="00024F4D"/>
    <w:rsid w:val="0002512A"/>
    <w:rsid w:val="0002565A"/>
    <w:rsid w:val="00027432"/>
    <w:rsid w:val="00027733"/>
    <w:rsid w:val="00027D76"/>
    <w:rsid w:val="0003077D"/>
    <w:rsid w:val="00031306"/>
    <w:rsid w:val="00034005"/>
    <w:rsid w:val="0003461D"/>
    <w:rsid w:val="0003495A"/>
    <w:rsid w:val="0003558A"/>
    <w:rsid w:val="00037B79"/>
    <w:rsid w:val="00037DC5"/>
    <w:rsid w:val="0004154B"/>
    <w:rsid w:val="00041AEF"/>
    <w:rsid w:val="00042349"/>
    <w:rsid w:val="00043CC4"/>
    <w:rsid w:val="000456CD"/>
    <w:rsid w:val="00051F91"/>
    <w:rsid w:val="00054298"/>
    <w:rsid w:val="0005466E"/>
    <w:rsid w:val="00057E5C"/>
    <w:rsid w:val="0006078E"/>
    <w:rsid w:val="00060F58"/>
    <w:rsid w:val="00063982"/>
    <w:rsid w:val="000665C3"/>
    <w:rsid w:val="00067F74"/>
    <w:rsid w:val="00067FAC"/>
    <w:rsid w:val="00070279"/>
    <w:rsid w:val="000726AB"/>
    <w:rsid w:val="00075073"/>
    <w:rsid w:val="00075857"/>
    <w:rsid w:val="00090DD3"/>
    <w:rsid w:val="000959A2"/>
    <w:rsid w:val="000A0FB4"/>
    <w:rsid w:val="000A39B5"/>
    <w:rsid w:val="000A45FB"/>
    <w:rsid w:val="000A6C4B"/>
    <w:rsid w:val="000A7372"/>
    <w:rsid w:val="000B03AF"/>
    <w:rsid w:val="000B043B"/>
    <w:rsid w:val="000B3363"/>
    <w:rsid w:val="000B4D9F"/>
    <w:rsid w:val="000C1345"/>
    <w:rsid w:val="000C1CA6"/>
    <w:rsid w:val="000C30C6"/>
    <w:rsid w:val="000C5616"/>
    <w:rsid w:val="000C661B"/>
    <w:rsid w:val="000D107D"/>
    <w:rsid w:val="000D169F"/>
    <w:rsid w:val="000D5022"/>
    <w:rsid w:val="000D6953"/>
    <w:rsid w:val="000D70A1"/>
    <w:rsid w:val="000D7625"/>
    <w:rsid w:val="000E28D3"/>
    <w:rsid w:val="000E440D"/>
    <w:rsid w:val="000E694C"/>
    <w:rsid w:val="000E79AC"/>
    <w:rsid w:val="000F0596"/>
    <w:rsid w:val="000F11C5"/>
    <w:rsid w:val="000F144A"/>
    <w:rsid w:val="000F18D0"/>
    <w:rsid w:val="000F18FE"/>
    <w:rsid w:val="000F3341"/>
    <w:rsid w:val="000F408B"/>
    <w:rsid w:val="00100164"/>
    <w:rsid w:val="00100F1D"/>
    <w:rsid w:val="00103B2F"/>
    <w:rsid w:val="00105E18"/>
    <w:rsid w:val="00106FFD"/>
    <w:rsid w:val="00107F4B"/>
    <w:rsid w:val="00114150"/>
    <w:rsid w:val="00114B39"/>
    <w:rsid w:val="0011518C"/>
    <w:rsid w:val="001159F2"/>
    <w:rsid w:val="00116C3B"/>
    <w:rsid w:val="00126220"/>
    <w:rsid w:val="00127FC8"/>
    <w:rsid w:val="00130477"/>
    <w:rsid w:val="00130E26"/>
    <w:rsid w:val="0013215E"/>
    <w:rsid w:val="00134706"/>
    <w:rsid w:val="001370E0"/>
    <w:rsid w:val="00137921"/>
    <w:rsid w:val="00137C61"/>
    <w:rsid w:val="00137D1F"/>
    <w:rsid w:val="00141545"/>
    <w:rsid w:val="00141916"/>
    <w:rsid w:val="00145D55"/>
    <w:rsid w:val="00147377"/>
    <w:rsid w:val="00147778"/>
    <w:rsid w:val="0015231C"/>
    <w:rsid w:val="001566A6"/>
    <w:rsid w:val="0016076A"/>
    <w:rsid w:val="0016100D"/>
    <w:rsid w:val="00162385"/>
    <w:rsid w:val="001624FA"/>
    <w:rsid w:val="00166F13"/>
    <w:rsid w:val="00172A27"/>
    <w:rsid w:val="0017350E"/>
    <w:rsid w:val="001767CC"/>
    <w:rsid w:val="00180C8B"/>
    <w:rsid w:val="00180DDA"/>
    <w:rsid w:val="0018313F"/>
    <w:rsid w:val="00185069"/>
    <w:rsid w:val="00185C38"/>
    <w:rsid w:val="00190051"/>
    <w:rsid w:val="0019058B"/>
    <w:rsid w:val="0019426D"/>
    <w:rsid w:val="0019529D"/>
    <w:rsid w:val="00197221"/>
    <w:rsid w:val="00197D1F"/>
    <w:rsid w:val="001A0D88"/>
    <w:rsid w:val="001A40C2"/>
    <w:rsid w:val="001A4309"/>
    <w:rsid w:val="001A5BC9"/>
    <w:rsid w:val="001A70D8"/>
    <w:rsid w:val="001B08B0"/>
    <w:rsid w:val="001B49F4"/>
    <w:rsid w:val="001B7C73"/>
    <w:rsid w:val="001C0559"/>
    <w:rsid w:val="001C0798"/>
    <w:rsid w:val="001C32AA"/>
    <w:rsid w:val="001C6E66"/>
    <w:rsid w:val="001D057B"/>
    <w:rsid w:val="001E2F06"/>
    <w:rsid w:val="001E3261"/>
    <w:rsid w:val="001E560F"/>
    <w:rsid w:val="001F0A96"/>
    <w:rsid w:val="001F3DF4"/>
    <w:rsid w:val="001F409B"/>
    <w:rsid w:val="001F4AC3"/>
    <w:rsid w:val="001F7434"/>
    <w:rsid w:val="001F7B6F"/>
    <w:rsid w:val="002028AF"/>
    <w:rsid w:val="00203C2B"/>
    <w:rsid w:val="00205D8A"/>
    <w:rsid w:val="002063F2"/>
    <w:rsid w:val="00210E2A"/>
    <w:rsid w:val="00213F36"/>
    <w:rsid w:val="00213F71"/>
    <w:rsid w:val="00214A66"/>
    <w:rsid w:val="00214ADE"/>
    <w:rsid w:val="00217012"/>
    <w:rsid w:val="002209E8"/>
    <w:rsid w:val="0022782D"/>
    <w:rsid w:val="00232E77"/>
    <w:rsid w:val="00234C89"/>
    <w:rsid w:val="00236DBD"/>
    <w:rsid w:val="00240821"/>
    <w:rsid w:val="00242031"/>
    <w:rsid w:val="00243919"/>
    <w:rsid w:val="002442FD"/>
    <w:rsid w:val="0024457D"/>
    <w:rsid w:val="0024683B"/>
    <w:rsid w:val="002469DA"/>
    <w:rsid w:val="00247D05"/>
    <w:rsid w:val="00250C18"/>
    <w:rsid w:val="00253F26"/>
    <w:rsid w:val="00253F89"/>
    <w:rsid w:val="00255E27"/>
    <w:rsid w:val="0025714E"/>
    <w:rsid w:val="002575D1"/>
    <w:rsid w:val="0026074E"/>
    <w:rsid w:val="002623B8"/>
    <w:rsid w:val="0027149E"/>
    <w:rsid w:val="00272139"/>
    <w:rsid w:val="00273C90"/>
    <w:rsid w:val="00273E17"/>
    <w:rsid w:val="002777A9"/>
    <w:rsid w:val="0028085B"/>
    <w:rsid w:val="00281E9C"/>
    <w:rsid w:val="00282C46"/>
    <w:rsid w:val="00282FA9"/>
    <w:rsid w:val="00283FFC"/>
    <w:rsid w:val="00284692"/>
    <w:rsid w:val="00284A86"/>
    <w:rsid w:val="00285F23"/>
    <w:rsid w:val="00292A6D"/>
    <w:rsid w:val="00292CC8"/>
    <w:rsid w:val="002937C3"/>
    <w:rsid w:val="0029506E"/>
    <w:rsid w:val="002952F8"/>
    <w:rsid w:val="002A148F"/>
    <w:rsid w:val="002A18C2"/>
    <w:rsid w:val="002A4330"/>
    <w:rsid w:val="002B11EB"/>
    <w:rsid w:val="002B4D74"/>
    <w:rsid w:val="002C16A1"/>
    <w:rsid w:val="002C3AED"/>
    <w:rsid w:val="002C4357"/>
    <w:rsid w:val="002C4E00"/>
    <w:rsid w:val="002C574C"/>
    <w:rsid w:val="002D1737"/>
    <w:rsid w:val="002D4A04"/>
    <w:rsid w:val="002E0B93"/>
    <w:rsid w:val="002E1256"/>
    <w:rsid w:val="002E13F1"/>
    <w:rsid w:val="002E1629"/>
    <w:rsid w:val="002E16DA"/>
    <w:rsid w:val="002E1B34"/>
    <w:rsid w:val="002E28B1"/>
    <w:rsid w:val="002E446A"/>
    <w:rsid w:val="002E6A25"/>
    <w:rsid w:val="002F0D52"/>
    <w:rsid w:val="002F10B7"/>
    <w:rsid w:val="002F3261"/>
    <w:rsid w:val="002F3F53"/>
    <w:rsid w:val="002F68AE"/>
    <w:rsid w:val="002F6A11"/>
    <w:rsid w:val="0030258A"/>
    <w:rsid w:val="00302B9C"/>
    <w:rsid w:val="00302CA3"/>
    <w:rsid w:val="00302F50"/>
    <w:rsid w:val="0030453C"/>
    <w:rsid w:val="00304C54"/>
    <w:rsid w:val="00305143"/>
    <w:rsid w:val="00305BF7"/>
    <w:rsid w:val="00305C53"/>
    <w:rsid w:val="00306CA8"/>
    <w:rsid w:val="00310363"/>
    <w:rsid w:val="0031126B"/>
    <w:rsid w:val="00311FB8"/>
    <w:rsid w:val="00313652"/>
    <w:rsid w:val="00320160"/>
    <w:rsid w:val="00321B6F"/>
    <w:rsid w:val="00322094"/>
    <w:rsid w:val="00323EDE"/>
    <w:rsid w:val="00324035"/>
    <w:rsid w:val="003241D0"/>
    <w:rsid w:val="00330323"/>
    <w:rsid w:val="00331C9C"/>
    <w:rsid w:val="00333849"/>
    <w:rsid w:val="003341CB"/>
    <w:rsid w:val="00334FE7"/>
    <w:rsid w:val="00341481"/>
    <w:rsid w:val="00341639"/>
    <w:rsid w:val="00342E13"/>
    <w:rsid w:val="003461AB"/>
    <w:rsid w:val="003463C4"/>
    <w:rsid w:val="0035009A"/>
    <w:rsid w:val="0035472E"/>
    <w:rsid w:val="00356DB0"/>
    <w:rsid w:val="00360B44"/>
    <w:rsid w:val="00361CAC"/>
    <w:rsid w:val="00362F81"/>
    <w:rsid w:val="003636ED"/>
    <w:rsid w:val="003651E0"/>
    <w:rsid w:val="0036601F"/>
    <w:rsid w:val="00366477"/>
    <w:rsid w:val="00374FC1"/>
    <w:rsid w:val="00375985"/>
    <w:rsid w:val="00380C4D"/>
    <w:rsid w:val="003842FA"/>
    <w:rsid w:val="00384D4F"/>
    <w:rsid w:val="0039108A"/>
    <w:rsid w:val="00392D77"/>
    <w:rsid w:val="003955E7"/>
    <w:rsid w:val="00395630"/>
    <w:rsid w:val="003A1E76"/>
    <w:rsid w:val="003A6D72"/>
    <w:rsid w:val="003A73EF"/>
    <w:rsid w:val="003B0223"/>
    <w:rsid w:val="003B5886"/>
    <w:rsid w:val="003C1471"/>
    <w:rsid w:val="003C19BD"/>
    <w:rsid w:val="003C26BC"/>
    <w:rsid w:val="003C2BC3"/>
    <w:rsid w:val="003C7799"/>
    <w:rsid w:val="003D06A1"/>
    <w:rsid w:val="003D0D6F"/>
    <w:rsid w:val="003D11AC"/>
    <w:rsid w:val="003D23E2"/>
    <w:rsid w:val="003D75EB"/>
    <w:rsid w:val="003E1AB8"/>
    <w:rsid w:val="003E4135"/>
    <w:rsid w:val="003E44CD"/>
    <w:rsid w:val="003E5E40"/>
    <w:rsid w:val="003E5E82"/>
    <w:rsid w:val="003E6FC8"/>
    <w:rsid w:val="003E7AEC"/>
    <w:rsid w:val="003F009B"/>
    <w:rsid w:val="003F1803"/>
    <w:rsid w:val="003F44CE"/>
    <w:rsid w:val="003F4785"/>
    <w:rsid w:val="003F5E7E"/>
    <w:rsid w:val="003F62E7"/>
    <w:rsid w:val="003F6D86"/>
    <w:rsid w:val="00400E7F"/>
    <w:rsid w:val="00402E8D"/>
    <w:rsid w:val="00405D71"/>
    <w:rsid w:val="00405E23"/>
    <w:rsid w:val="00407F1C"/>
    <w:rsid w:val="00420C99"/>
    <w:rsid w:val="00422BA2"/>
    <w:rsid w:val="004232FE"/>
    <w:rsid w:val="0042407D"/>
    <w:rsid w:val="00425B36"/>
    <w:rsid w:val="00425D4A"/>
    <w:rsid w:val="00427637"/>
    <w:rsid w:val="004341B7"/>
    <w:rsid w:val="00445F28"/>
    <w:rsid w:val="00447614"/>
    <w:rsid w:val="004476C7"/>
    <w:rsid w:val="00450D20"/>
    <w:rsid w:val="00450F16"/>
    <w:rsid w:val="0045157E"/>
    <w:rsid w:val="0045250F"/>
    <w:rsid w:val="004525F3"/>
    <w:rsid w:val="00453D41"/>
    <w:rsid w:val="004547EE"/>
    <w:rsid w:val="0046190C"/>
    <w:rsid w:val="00461B76"/>
    <w:rsid w:val="004628AE"/>
    <w:rsid w:val="00464B98"/>
    <w:rsid w:val="00466311"/>
    <w:rsid w:val="00471033"/>
    <w:rsid w:val="00472305"/>
    <w:rsid w:val="004750B8"/>
    <w:rsid w:val="00480D86"/>
    <w:rsid w:val="00483DEB"/>
    <w:rsid w:val="0048432B"/>
    <w:rsid w:val="004852AF"/>
    <w:rsid w:val="004859C9"/>
    <w:rsid w:val="00485EE4"/>
    <w:rsid w:val="00486044"/>
    <w:rsid w:val="0049032B"/>
    <w:rsid w:val="004916B0"/>
    <w:rsid w:val="0049179A"/>
    <w:rsid w:val="004963BE"/>
    <w:rsid w:val="004A1A0E"/>
    <w:rsid w:val="004A1D38"/>
    <w:rsid w:val="004A2DC8"/>
    <w:rsid w:val="004B5AC8"/>
    <w:rsid w:val="004B7043"/>
    <w:rsid w:val="004B7E3F"/>
    <w:rsid w:val="004B7FC8"/>
    <w:rsid w:val="004C13F3"/>
    <w:rsid w:val="004C1E34"/>
    <w:rsid w:val="004C69B1"/>
    <w:rsid w:val="004C7FAD"/>
    <w:rsid w:val="004D26C0"/>
    <w:rsid w:val="004D378E"/>
    <w:rsid w:val="004E0AD4"/>
    <w:rsid w:val="004E158E"/>
    <w:rsid w:val="004E19A2"/>
    <w:rsid w:val="004E1FBD"/>
    <w:rsid w:val="004E39F5"/>
    <w:rsid w:val="004E5B44"/>
    <w:rsid w:val="004E78AA"/>
    <w:rsid w:val="004F2C52"/>
    <w:rsid w:val="004F2CF2"/>
    <w:rsid w:val="004F48F1"/>
    <w:rsid w:val="004F5EF2"/>
    <w:rsid w:val="005000D9"/>
    <w:rsid w:val="00504A88"/>
    <w:rsid w:val="005105B6"/>
    <w:rsid w:val="005105DF"/>
    <w:rsid w:val="005116E6"/>
    <w:rsid w:val="0051474D"/>
    <w:rsid w:val="00516317"/>
    <w:rsid w:val="0051740A"/>
    <w:rsid w:val="005174AF"/>
    <w:rsid w:val="00522EBD"/>
    <w:rsid w:val="00526C3C"/>
    <w:rsid w:val="005274EF"/>
    <w:rsid w:val="00537790"/>
    <w:rsid w:val="00537D33"/>
    <w:rsid w:val="00540980"/>
    <w:rsid w:val="0054272A"/>
    <w:rsid w:val="00544150"/>
    <w:rsid w:val="0054669D"/>
    <w:rsid w:val="00550B0A"/>
    <w:rsid w:val="005512C5"/>
    <w:rsid w:val="005515A3"/>
    <w:rsid w:val="0055244D"/>
    <w:rsid w:val="00552EBB"/>
    <w:rsid w:val="0055486E"/>
    <w:rsid w:val="005607C0"/>
    <w:rsid w:val="00560E4F"/>
    <w:rsid w:val="00562D46"/>
    <w:rsid w:val="005641F7"/>
    <w:rsid w:val="00565A37"/>
    <w:rsid w:val="005674BC"/>
    <w:rsid w:val="005712AD"/>
    <w:rsid w:val="005738E5"/>
    <w:rsid w:val="00573994"/>
    <w:rsid w:val="00573EB5"/>
    <w:rsid w:val="00574D03"/>
    <w:rsid w:val="00574F85"/>
    <w:rsid w:val="00576BDD"/>
    <w:rsid w:val="00577BEB"/>
    <w:rsid w:val="00581F05"/>
    <w:rsid w:val="00581FAE"/>
    <w:rsid w:val="005835E5"/>
    <w:rsid w:val="00585CDD"/>
    <w:rsid w:val="005926CB"/>
    <w:rsid w:val="005952C6"/>
    <w:rsid w:val="005954BD"/>
    <w:rsid w:val="00595588"/>
    <w:rsid w:val="005969AC"/>
    <w:rsid w:val="005974D7"/>
    <w:rsid w:val="00597995"/>
    <w:rsid w:val="005A1300"/>
    <w:rsid w:val="005A1771"/>
    <w:rsid w:val="005A25CA"/>
    <w:rsid w:val="005A359F"/>
    <w:rsid w:val="005A3B1E"/>
    <w:rsid w:val="005A3DA2"/>
    <w:rsid w:val="005A42A4"/>
    <w:rsid w:val="005A48C1"/>
    <w:rsid w:val="005A7251"/>
    <w:rsid w:val="005B0603"/>
    <w:rsid w:val="005B07F0"/>
    <w:rsid w:val="005B0A17"/>
    <w:rsid w:val="005B2050"/>
    <w:rsid w:val="005B22C8"/>
    <w:rsid w:val="005B3A62"/>
    <w:rsid w:val="005B437B"/>
    <w:rsid w:val="005B513C"/>
    <w:rsid w:val="005B7A4C"/>
    <w:rsid w:val="005B7C47"/>
    <w:rsid w:val="005C2115"/>
    <w:rsid w:val="005C4581"/>
    <w:rsid w:val="005C507F"/>
    <w:rsid w:val="005C5464"/>
    <w:rsid w:val="005C6479"/>
    <w:rsid w:val="005D2E88"/>
    <w:rsid w:val="005D702F"/>
    <w:rsid w:val="005D7A9F"/>
    <w:rsid w:val="005E0896"/>
    <w:rsid w:val="005E195D"/>
    <w:rsid w:val="005E1C1D"/>
    <w:rsid w:val="005E2AA2"/>
    <w:rsid w:val="005E31F8"/>
    <w:rsid w:val="005E3CEE"/>
    <w:rsid w:val="005E6164"/>
    <w:rsid w:val="005F0417"/>
    <w:rsid w:val="005F046B"/>
    <w:rsid w:val="005F076B"/>
    <w:rsid w:val="005F51FF"/>
    <w:rsid w:val="005F56AC"/>
    <w:rsid w:val="00601035"/>
    <w:rsid w:val="00602038"/>
    <w:rsid w:val="00613BF1"/>
    <w:rsid w:val="00613DD9"/>
    <w:rsid w:val="00614698"/>
    <w:rsid w:val="00615804"/>
    <w:rsid w:val="00616E0B"/>
    <w:rsid w:val="00625A84"/>
    <w:rsid w:val="00630245"/>
    <w:rsid w:val="006316C7"/>
    <w:rsid w:val="006316F5"/>
    <w:rsid w:val="00633FB2"/>
    <w:rsid w:val="006373DB"/>
    <w:rsid w:val="006373FC"/>
    <w:rsid w:val="006378EC"/>
    <w:rsid w:val="00637A57"/>
    <w:rsid w:val="00641595"/>
    <w:rsid w:val="00646C20"/>
    <w:rsid w:val="0065375C"/>
    <w:rsid w:val="00654ECC"/>
    <w:rsid w:val="00655AE8"/>
    <w:rsid w:val="0066181B"/>
    <w:rsid w:val="00661E89"/>
    <w:rsid w:val="00664BCB"/>
    <w:rsid w:val="00670E1E"/>
    <w:rsid w:val="006731D9"/>
    <w:rsid w:val="00673A17"/>
    <w:rsid w:val="00674251"/>
    <w:rsid w:val="00677138"/>
    <w:rsid w:val="0067776D"/>
    <w:rsid w:val="006818F7"/>
    <w:rsid w:val="00687038"/>
    <w:rsid w:val="006875C2"/>
    <w:rsid w:val="0069384F"/>
    <w:rsid w:val="00693CA1"/>
    <w:rsid w:val="00694C9D"/>
    <w:rsid w:val="00696DC5"/>
    <w:rsid w:val="006A23EF"/>
    <w:rsid w:val="006A388A"/>
    <w:rsid w:val="006A441A"/>
    <w:rsid w:val="006A53BE"/>
    <w:rsid w:val="006A6A35"/>
    <w:rsid w:val="006A7AFB"/>
    <w:rsid w:val="006B5A69"/>
    <w:rsid w:val="006B60C9"/>
    <w:rsid w:val="006C2546"/>
    <w:rsid w:val="006C2D63"/>
    <w:rsid w:val="006C49F7"/>
    <w:rsid w:val="006C4A13"/>
    <w:rsid w:val="006C52ED"/>
    <w:rsid w:val="006C5EE2"/>
    <w:rsid w:val="006C6183"/>
    <w:rsid w:val="006C61CA"/>
    <w:rsid w:val="006C637C"/>
    <w:rsid w:val="006C6BE7"/>
    <w:rsid w:val="006C7B75"/>
    <w:rsid w:val="006D231A"/>
    <w:rsid w:val="006D7574"/>
    <w:rsid w:val="006E4570"/>
    <w:rsid w:val="006E5069"/>
    <w:rsid w:val="006E638D"/>
    <w:rsid w:val="006E6525"/>
    <w:rsid w:val="006E73CA"/>
    <w:rsid w:val="006E75A1"/>
    <w:rsid w:val="006F3A6E"/>
    <w:rsid w:val="006F3D97"/>
    <w:rsid w:val="006F42F7"/>
    <w:rsid w:val="007003E7"/>
    <w:rsid w:val="00700E59"/>
    <w:rsid w:val="0070236B"/>
    <w:rsid w:val="0070478E"/>
    <w:rsid w:val="00705BBC"/>
    <w:rsid w:val="0071159A"/>
    <w:rsid w:val="0071599A"/>
    <w:rsid w:val="0071634D"/>
    <w:rsid w:val="007171CC"/>
    <w:rsid w:val="00723C1A"/>
    <w:rsid w:val="00727A88"/>
    <w:rsid w:val="007322B4"/>
    <w:rsid w:val="007351B5"/>
    <w:rsid w:val="00735D13"/>
    <w:rsid w:val="00737E0D"/>
    <w:rsid w:val="0074173F"/>
    <w:rsid w:val="00741FF0"/>
    <w:rsid w:val="00743647"/>
    <w:rsid w:val="00743709"/>
    <w:rsid w:val="00743A5A"/>
    <w:rsid w:val="007443BF"/>
    <w:rsid w:val="00751D32"/>
    <w:rsid w:val="00753291"/>
    <w:rsid w:val="00753343"/>
    <w:rsid w:val="00755D85"/>
    <w:rsid w:val="007572DF"/>
    <w:rsid w:val="007603D6"/>
    <w:rsid w:val="00762E92"/>
    <w:rsid w:val="00763E80"/>
    <w:rsid w:val="007657BB"/>
    <w:rsid w:val="007672A8"/>
    <w:rsid w:val="007673CE"/>
    <w:rsid w:val="007676F2"/>
    <w:rsid w:val="00772F19"/>
    <w:rsid w:val="0077413C"/>
    <w:rsid w:val="007750DA"/>
    <w:rsid w:val="00775AC2"/>
    <w:rsid w:val="00780EBD"/>
    <w:rsid w:val="00781846"/>
    <w:rsid w:val="00784EC3"/>
    <w:rsid w:val="00791069"/>
    <w:rsid w:val="0079129D"/>
    <w:rsid w:val="007925AA"/>
    <w:rsid w:val="00795418"/>
    <w:rsid w:val="007A2CFB"/>
    <w:rsid w:val="007A5959"/>
    <w:rsid w:val="007A598A"/>
    <w:rsid w:val="007A61F0"/>
    <w:rsid w:val="007A69C5"/>
    <w:rsid w:val="007A6CA1"/>
    <w:rsid w:val="007B0FBB"/>
    <w:rsid w:val="007B242A"/>
    <w:rsid w:val="007B2688"/>
    <w:rsid w:val="007B2E14"/>
    <w:rsid w:val="007B340D"/>
    <w:rsid w:val="007B40ED"/>
    <w:rsid w:val="007B6BA0"/>
    <w:rsid w:val="007C0183"/>
    <w:rsid w:val="007C1891"/>
    <w:rsid w:val="007C3338"/>
    <w:rsid w:val="007C3492"/>
    <w:rsid w:val="007C391B"/>
    <w:rsid w:val="007C43BC"/>
    <w:rsid w:val="007C4467"/>
    <w:rsid w:val="007C4B3D"/>
    <w:rsid w:val="007D0CC5"/>
    <w:rsid w:val="007D2625"/>
    <w:rsid w:val="007D27EA"/>
    <w:rsid w:val="007D2B2C"/>
    <w:rsid w:val="007D4FB5"/>
    <w:rsid w:val="007E41C5"/>
    <w:rsid w:val="007E47E3"/>
    <w:rsid w:val="007E6108"/>
    <w:rsid w:val="007E6F6B"/>
    <w:rsid w:val="007F4E56"/>
    <w:rsid w:val="007F680A"/>
    <w:rsid w:val="008052B1"/>
    <w:rsid w:val="00805AEE"/>
    <w:rsid w:val="0081163E"/>
    <w:rsid w:val="00813A68"/>
    <w:rsid w:val="0081496A"/>
    <w:rsid w:val="008217D0"/>
    <w:rsid w:val="0082523F"/>
    <w:rsid w:val="00826B08"/>
    <w:rsid w:val="00827E34"/>
    <w:rsid w:val="00830167"/>
    <w:rsid w:val="008311A5"/>
    <w:rsid w:val="00833707"/>
    <w:rsid w:val="00834597"/>
    <w:rsid w:val="00834751"/>
    <w:rsid w:val="00841490"/>
    <w:rsid w:val="00841928"/>
    <w:rsid w:val="00847472"/>
    <w:rsid w:val="008553D4"/>
    <w:rsid w:val="00856E1F"/>
    <w:rsid w:val="0086293F"/>
    <w:rsid w:val="008649CF"/>
    <w:rsid w:val="008655B6"/>
    <w:rsid w:val="00865806"/>
    <w:rsid w:val="00865E4E"/>
    <w:rsid w:val="0086791E"/>
    <w:rsid w:val="00877E04"/>
    <w:rsid w:val="00877F2E"/>
    <w:rsid w:val="0088186E"/>
    <w:rsid w:val="00882410"/>
    <w:rsid w:val="00882753"/>
    <w:rsid w:val="008829EA"/>
    <w:rsid w:val="00883E0B"/>
    <w:rsid w:val="00890C70"/>
    <w:rsid w:val="00893373"/>
    <w:rsid w:val="008940B0"/>
    <w:rsid w:val="00896C24"/>
    <w:rsid w:val="00897B07"/>
    <w:rsid w:val="00897FD4"/>
    <w:rsid w:val="008A03D8"/>
    <w:rsid w:val="008A3AB3"/>
    <w:rsid w:val="008A4750"/>
    <w:rsid w:val="008A62E3"/>
    <w:rsid w:val="008A6F13"/>
    <w:rsid w:val="008A7BA5"/>
    <w:rsid w:val="008B1602"/>
    <w:rsid w:val="008B187D"/>
    <w:rsid w:val="008B232E"/>
    <w:rsid w:val="008B5970"/>
    <w:rsid w:val="008C0779"/>
    <w:rsid w:val="008C2613"/>
    <w:rsid w:val="008C33CC"/>
    <w:rsid w:val="008C7D25"/>
    <w:rsid w:val="008D1ED4"/>
    <w:rsid w:val="008D22F9"/>
    <w:rsid w:val="008D54F7"/>
    <w:rsid w:val="008D76C4"/>
    <w:rsid w:val="008E1EF9"/>
    <w:rsid w:val="008E41D6"/>
    <w:rsid w:val="008E5ABB"/>
    <w:rsid w:val="008E6A6E"/>
    <w:rsid w:val="008E77F5"/>
    <w:rsid w:val="008F0FD4"/>
    <w:rsid w:val="008F2293"/>
    <w:rsid w:val="008F2BED"/>
    <w:rsid w:val="008F3B1F"/>
    <w:rsid w:val="008F52FE"/>
    <w:rsid w:val="008F5334"/>
    <w:rsid w:val="009018DD"/>
    <w:rsid w:val="0090242B"/>
    <w:rsid w:val="00903DC4"/>
    <w:rsid w:val="00904D90"/>
    <w:rsid w:val="00905570"/>
    <w:rsid w:val="009058CC"/>
    <w:rsid w:val="00906190"/>
    <w:rsid w:val="009064FE"/>
    <w:rsid w:val="00913AA6"/>
    <w:rsid w:val="00917E95"/>
    <w:rsid w:val="009229A7"/>
    <w:rsid w:val="0092563F"/>
    <w:rsid w:val="00925DF6"/>
    <w:rsid w:val="00925E62"/>
    <w:rsid w:val="009262F3"/>
    <w:rsid w:val="009302AC"/>
    <w:rsid w:val="00931C57"/>
    <w:rsid w:val="00931DD2"/>
    <w:rsid w:val="00933CB9"/>
    <w:rsid w:val="0093404F"/>
    <w:rsid w:val="00937EF7"/>
    <w:rsid w:val="00940F15"/>
    <w:rsid w:val="009479C9"/>
    <w:rsid w:val="00950EEB"/>
    <w:rsid w:val="0095283E"/>
    <w:rsid w:val="0095330A"/>
    <w:rsid w:val="00953598"/>
    <w:rsid w:val="00954043"/>
    <w:rsid w:val="009555BD"/>
    <w:rsid w:val="009556F5"/>
    <w:rsid w:val="00962D5A"/>
    <w:rsid w:val="00963432"/>
    <w:rsid w:val="00967233"/>
    <w:rsid w:val="009678D5"/>
    <w:rsid w:val="00967EE7"/>
    <w:rsid w:val="00974398"/>
    <w:rsid w:val="00976D0C"/>
    <w:rsid w:val="00977ADF"/>
    <w:rsid w:val="009822DF"/>
    <w:rsid w:val="00984ABA"/>
    <w:rsid w:val="00985CB2"/>
    <w:rsid w:val="00986599"/>
    <w:rsid w:val="009905F4"/>
    <w:rsid w:val="00991823"/>
    <w:rsid w:val="00991B13"/>
    <w:rsid w:val="0099340E"/>
    <w:rsid w:val="00993845"/>
    <w:rsid w:val="00997070"/>
    <w:rsid w:val="009971F9"/>
    <w:rsid w:val="009A2869"/>
    <w:rsid w:val="009A40CE"/>
    <w:rsid w:val="009A4F5A"/>
    <w:rsid w:val="009A58B7"/>
    <w:rsid w:val="009A7020"/>
    <w:rsid w:val="009B0120"/>
    <w:rsid w:val="009B01D8"/>
    <w:rsid w:val="009B0B95"/>
    <w:rsid w:val="009B32C3"/>
    <w:rsid w:val="009B39BE"/>
    <w:rsid w:val="009B70BA"/>
    <w:rsid w:val="009C14A9"/>
    <w:rsid w:val="009C1E06"/>
    <w:rsid w:val="009C2AEF"/>
    <w:rsid w:val="009C4537"/>
    <w:rsid w:val="009D0817"/>
    <w:rsid w:val="009D0876"/>
    <w:rsid w:val="009D2D26"/>
    <w:rsid w:val="009D345B"/>
    <w:rsid w:val="009D41C4"/>
    <w:rsid w:val="009D6810"/>
    <w:rsid w:val="009E1CC2"/>
    <w:rsid w:val="009E3394"/>
    <w:rsid w:val="009E3694"/>
    <w:rsid w:val="009E51F7"/>
    <w:rsid w:val="009E54C4"/>
    <w:rsid w:val="009E7AA3"/>
    <w:rsid w:val="009F2C6C"/>
    <w:rsid w:val="009F2CC3"/>
    <w:rsid w:val="009F4181"/>
    <w:rsid w:val="00A03078"/>
    <w:rsid w:val="00A03E7F"/>
    <w:rsid w:val="00A051EC"/>
    <w:rsid w:val="00A052B8"/>
    <w:rsid w:val="00A123A3"/>
    <w:rsid w:val="00A12A08"/>
    <w:rsid w:val="00A1563F"/>
    <w:rsid w:val="00A165B9"/>
    <w:rsid w:val="00A177D4"/>
    <w:rsid w:val="00A22922"/>
    <w:rsid w:val="00A22E1B"/>
    <w:rsid w:val="00A239C1"/>
    <w:rsid w:val="00A24943"/>
    <w:rsid w:val="00A24A6E"/>
    <w:rsid w:val="00A27F53"/>
    <w:rsid w:val="00A3237B"/>
    <w:rsid w:val="00A3271E"/>
    <w:rsid w:val="00A35365"/>
    <w:rsid w:val="00A35FBE"/>
    <w:rsid w:val="00A37FE3"/>
    <w:rsid w:val="00A40090"/>
    <w:rsid w:val="00A40FBE"/>
    <w:rsid w:val="00A4390F"/>
    <w:rsid w:val="00A44CF0"/>
    <w:rsid w:val="00A457A0"/>
    <w:rsid w:val="00A470D5"/>
    <w:rsid w:val="00A50183"/>
    <w:rsid w:val="00A50494"/>
    <w:rsid w:val="00A5075F"/>
    <w:rsid w:val="00A5114B"/>
    <w:rsid w:val="00A52AEB"/>
    <w:rsid w:val="00A57FAC"/>
    <w:rsid w:val="00A6011E"/>
    <w:rsid w:val="00A6040C"/>
    <w:rsid w:val="00A61CA0"/>
    <w:rsid w:val="00A62ABA"/>
    <w:rsid w:val="00A6334D"/>
    <w:rsid w:val="00A6422E"/>
    <w:rsid w:val="00A80213"/>
    <w:rsid w:val="00A80C91"/>
    <w:rsid w:val="00A84CD9"/>
    <w:rsid w:val="00A92B3D"/>
    <w:rsid w:val="00A96719"/>
    <w:rsid w:val="00A970A3"/>
    <w:rsid w:val="00AA5E85"/>
    <w:rsid w:val="00AB1F88"/>
    <w:rsid w:val="00AB3959"/>
    <w:rsid w:val="00AB4B0C"/>
    <w:rsid w:val="00AB65D6"/>
    <w:rsid w:val="00AC08E0"/>
    <w:rsid w:val="00AD0FB4"/>
    <w:rsid w:val="00AD1244"/>
    <w:rsid w:val="00AD779C"/>
    <w:rsid w:val="00AE5507"/>
    <w:rsid w:val="00AE575E"/>
    <w:rsid w:val="00AE78DF"/>
    <w:rsid w:val="00AF3AA5"/>
    <w:rsid w:val="00AF5F1B"/>
    <w:rsid w:val="00B00781"/>
    <w:rsid w:val="00B01193"/>
    <w:rsid w:val="00B01381"/>
    <w:rsid w:val="00B01806"/>
    <w:rsid w:val="00B02199"/>
    <w:rsid w:val="00B02EBA"/>
    <w:rsid w:val="00B051CC"/>
    <w:rsid w:val="00B07946"/>
    <w:rsid w:val="00B11367"/>
    <w:rsid w:val="00B12152"/>
    <w:rsid w:val="00B12167"/>
    <w:rsid w:val="00B14476"/>
    <w:rsid w:val="00B14881"/>
    <w:rsid w:val="00B16604"/>
    <w:rsid w:val="00B17BC2"/>
    <w:rsid w:val="00B2188D"/>
    <w:rsid w:val="00B222C6"/>
    <w:rsid w:val="00B24A61"/>
    <w:rsid w:val="00B25D5E"/>
    <w:rsid w:val="00B26CCF"/>
    <w:rsid w:val="00B30D02"/>
    <w:rsid w:val="00B34FCC"/>
    <w:rsid w:val="00B36185"/>
    <w:rsid w:val="00B36D9D"/>
    <w:rsid w:val="00B36E7B"/>
    <w:rsid w:val="00B4176E"/>
    <w:rsid w:val="00B41E9D"/>
    <w:rsid w:val="00B44FD3"/>
    <w:rsid w:val="00B46301"/>
    <w:rsid w:val="00B47E19"/>
    <w:rsid w:val="00B51E56"/>
    <w:rsid w:val="00B54511"/>
    <w:rsid w:val="00B55DA2"/>
    <w:rsid w:val="00B56124"/>
    <w:rsid w:val="00B57CBA"/>
    <w:rsid w:val="00B6524E"/>
    <w:rsid w:val="00B66E65"/>
    <w:rsid w:val="00B705B4"/>
    <w:rsid w:val="00B74C57"/>
    <w:rsid w:val="00B75E62"/>
    <w:rsid w:val="00B80D96"/>
    <w:rsid w:val="00B81E22"/>
    <w:rsid w:val="00B8210B"/>
    <w:rsid w:val="00B83F06"/>
    <w:rsid w:val="00B84C94"/>
    <w:rsid w:val="00B85006"/>
    <w:rsid w:val="00B902AC"/>
    <w:rsid w:val="00B92258"/>
    <w:rsid w:val="00B926BD"/>
    <w:rsid w:val="00B95DFC"/>
    <w:rsid w:val="00B967C7"/>
    <w:rsid w:val="00B96FF4"/>
    <w:rsid w:val="00B970DB"/>
    <w:rsid w:val="00B977D7"/>
    <w:rsid w:val="00B97F25"/>
    <w:rsid w:val="00BA1007"/>
    <w:rsid w:val="00BA20CD"/>
    <w:rsid w:val="00BA45EA"/>
    <w:rsid w:val="00BA460A"/>
    <w:rsid w:val="00BA557A"/>
    <w:rsid w:val="00BB57F2"/>
    <w:rsid w:val="00BB604D"/>
    <w:rsid w:val="00BB7B4A"/>
    <w:rsid w:val="00BC25EE"/>
    <w:rsid w:val="00BC2655"/>
    <w:rsid w:val="00BC27EF"/>
    <w:rsid w:val="00BC2A87"/>
    <w:rsid w:val="00BD456B"/>
    <w:rsid w:val="00BD5525"/>
    <w:rsid w:val="00BD7892"/>
    <w:rsid w:val="00BE19DC"/>
    <w:rsid w:val="00BE4D2D"/>
    <w:rsid w:val="00BE523D"/>
    <w:rsid w:val="00BE5A7D"/>
    <w:rsid w:val="00BE65A0"/>
    <w:rsid w:val="00BE6992"/>
    <w:rsid w:val="00BE6D7D"/>
    <w:rsid w:val="00BF2C16"/>
    <w:rsid w:val="00BF45C5"/>
    <w:rsid w:val="00BF6309"/>
    <w:rsid w:val="00BF657A"/>
    <w:rsid w:val="00BF7CF3"/>
    <w:rsid w:val="00C00D62"/>
    <w:rsid w:val="00C010A4"/>
    <w:rsid w:val="00C0162E"/>
    <w:rsid w:val="00C03DDE"/>
    <w:rsid w:val="00C04F50"/>
    <w:rsid w:val="00C05A13"/>
    <w:rsid w:val="00C121D2"/>
    <w:rsid w:val="00C14930"/>
    <w:rsid w:val="00C14BF7"/>
    <w:rsid w:val="00C1537D"/>
    <w:rsid w:val="00C15E8D"/>
    <w:rsid w:val="00C16C2F"/>
    <w:rsid w:val="00C172B7"/>
    <w:rsid w:val="00C234A2"/>
    <w:rsid w:val="00C2378B"/>
    <w:rsid w:val="00C244EC"/>
    <w:rsid w:val="00C24A1F"/>
    <w:rsid w:val="00C2673E"/>
    <w:rsid w:val="00C3594F"/>
    <w:rsid w:val="00C40F39"/>
    <w:rsid w:val="00C450C7"/>
    <w:rsid w:val="00C50EE5"/>
    <w:rsid w:val="00C519AB"/>
    <w:rsid w:val="00C51DB2"/>
    <w:rsid w:val="00C55042"/>
    <w:rsid w:val="00C57004"/>
    <w:rsid w:val="00C609EB"/>
    <w:rsid w:val="00C62856"/>
    <w:rsid w:val="00C646D5"/>
    <w:rsid w:val="00C649CC"/>
    <w:rsid w:val="00C66C84"/>
    <w:rsid w:val="00C711AC"/>
    <w:rsid w:val="00C71625"/>
    <w:rsid w:val="00C72151"/>
    <w:rsid w:val="00C72F4F"/>
    <w:rsid w:val="00C74DD3"/>
    <w:rsid w:val="00C75C6A"/>
    <w:rsid w:val="00C820E1"/>
    <w:rsid w:val="00C8281D"/>
    <w:rsid w:val="00C85A22"/>
    <w:rsid w:val="00C91D23"/>
    <w:rsid w:val="00C92182"/>
    <w:rsid w:val="00C93CE5"/>
    <w:rsid w:val="00C94FBE"/>
    <w:rsid w:val="00C951F8"/>
    <w:rsid w:val="00C9636A"/>
    <w:rsid w:val="00CA05C9"/>
    <w:rsid w:val="00CA1B4D"/>
    <w:rsid w:val="00CA3011"/>
    <w:rsid w:val="00CA6291"/>
    <w:rsid w:val="00CB0839"/>
    <w:rsid w:val="00CC1173"/>
    <w:rsid w:val="00CC117F"/>
    <w:rsid w:val="00CC1D22"/>
    <w:rsid w:val="00CC26C7"/>
    <w:rsid w:val="00CC3DF3"/>
    <w:rsid w:val="00CD1228"/>
    <w:rsid w:val="00CD3E7A"/>
    <w:rsid w:val="00CD6F0D"/>
    <w:rsid w:val="00CE1373"/>
    <w:rsid w:val="00CE481B"/>
    <w:rsid w:val="00CE4DBE"/>
    <w:rsid w:val="00CE4F05"/>
    <w:rsid w:val="00CE665E"/>
    <w:rsid w:val="00CE7349"/>
    <w:rsid w:val="00CE7E7F"/>
    <w:rsid w:val="00CF0F0F"/>
    <w:rsid w:val="00CF13C6"/>
    <w:rsid w:val="00CF3AC2"/>
    <w:rsid w:val="00CF6101"/>
    <w:rsid w:val="00D03270"/>
    <w:rsid w:val="00D035C4"/>
    <w:rsid w:val="00D061ED"/>
    <w:rsid w:val="00D11213"/>
    <w:rsid w:val="00D12D70"/>
    <w:rsid w:val="00D143C2"/>
    <w:rsid w:val="00D15732"/>
    <w:rsid w:val="00D16942"/>
    <w:rsid w:val="00D17834"/>
    <w:rsid w:val="00D17A1E"/>
    <w:rsid w:val="00D2129F"/>
    <w:rsid w:val="00D237AF"/>
    <w:rsid w:val="00D328A3"/>
    <w:rsid w:val="00D35C25"/>
    <w:rsid w:val="00D37C97"/>
    <w:rsid w:val="00D40799"/>
    <w:rsid w:val="00D4233B"/>
    <w:rsid w:val="00D42B6B"/>
    <w:rsid w:val="00D432A5"/>
    <w:rsid w:val="00D44EAE"/>
    <w:rsid w:val="00D4612C"/>
    <w:rsid w:val="00D50F5A"/>
    <w:rsid w:val="00D50FFF"/>
    <w:rsid w:val="00D641C0"/>
    <w:rsid w:val="00D72A1E"/>
    <w:rsid w:val="00D7533B"/>
    <w:rsid w:val="00D806D9"/>
    <w:rsid w:val="00D82B6C"/>
    <w:rsid w:val="00D86DF0"/>
    <w:rsid w:val="00D9349E"/>
    <w:rsid w:val="00D971B3"/>
    <w:rsid w:val="00D9780D"/>
    <w:rsid w:val="00D97DEA"/>
    <w:rsid w:val="00DA07BF"/>
    <w:rsid w:val="00DA0897"/>
    <w:rsid w:val="00DA1A05"/>
    <w:rsid w:val="00DA3600"/>
    <w:rsid w:val="00DA792D"/>
    <w:rsid w:val="00DB309E"/>
    <w:rsid w:val="00DB43CD"/>
    <w:rsid w:val="00DB5634"/>
    <w:rsid w:val="00DB5735"/>
    <w:rsid w:val="00DB58E7"/>
    <w:rsid w:val="00DC406D"/>
    <w:rsid w:val="00DC5454"/>
    <w:rsid w:val="00DC7187"/>
    <w:rsid w:val="00DD0AA8"/>
    <w:rsid w:val="00DD2FE9"/>
    <w:rsid w:val="00DD6E7A"/>
    <w:rsid w:val="00DD6FF6"/>
    <w:rsid w:val="00DE20AE"/>
    <w:rsid w:val="00DE38F7"/>
    <w:rsid w:val="00DE5F2E"/>
    <w:rsid w:val="00DF1E64"/>
    <w:rsid w:val="00DF2AC8"/>
    <w:rsid w:val="00DF4110"/>
    <w:rsid w:val="00DF5910"/>
    <w:rsid w:val="00DF7263"/>
    <w:rsid w:val="00E062BD"/>
    <w:rsid w:val="00E0655D"/>
    <w:rsid w:val="00E065E2"/>
    <w:rsid w:val="00E071AD"/>
    <w:rsid w:val="00E10706"/>
    <w:rsid w:val="00E11391"/>
    <w:rsid w:val="00E14328"/>
    <w:rsid w:val="00E1505D"/>
    <w:rsid w:val="00E16C07"/>
    <w:rsid w:val="00E211E4"/>
    <w:rsid w:val="00E2430B"/>
    <w:rsid w:val="00E26E21"/>
    <w:rsid w:val="00E3238C"/>
    <w:rsid w:val="00E379DD"/>
    <w:rsid w:val="00E405F6"/>
    <w:rsid w:val="00E40C19"/>
    <w:rsid w:val="00E42502"/>
    <w:rsid w:val="00E42861"/>
    <w:rsid w:val="00E42E3D"/>
    <w:rsid w:val="00E436B2"/>
    <w:rsid w:val="00E437F5"/>
    <w:rsid w:val="00E43DE6"/>
    <w:rsid w:val="00E502A3"/>
    <w:rsid w:val="00E50326"/>
    <w:rsid w:val="00E53E07"/>
    <w:rsid w:val="00E559B8"/>
    <w:rsid w:val="00E559D4"/>
    <w:rsid w:val="00E56FF0"/>
    <w:rsid w:val="00E576C8"/>
    <w:rsid w:val="00E57F0D"/>
    <w:rsid w:val="00E63883"/>
    <w:rsid w:val="00E67127"/>
    <w:rsid w:val="00E70F64"/>
    <w:rsid w:val="00E75927"/>
    <w:rsid w:val="00E75B80"/>
    <w:rsid w:val="00E77460"/>
    <w:rsid w:val="00E80375"/>
    <w:rsid w:val="00E81F12"/>
    <w:rsid w:val="00E82E67"/>
    <w:rsid w:val="00E83AA0"/>
    <w:rsid w:val="00E84686"/>
    <w:rsid w:val="00E86528"/>
    <w:rsid w:val="00E87E8D"/>
    <w:rsid w:val="00E9247F"/>
    <w:rsid w:val="00E924D5"/>
    <w:rsid w:val="00E963CB"/>
    <w:rsid w:val="00E97E88"/>
    <w:rsid w:val="00EA06E0"/>
    <w:rsid w:val="00EA10ED"/>
    <w:rsid w:val="00EA1E9B"/>
    <w:rsid w:val="00EA1FF8"/>
    <w:rsid w:val="00EA2518"/>
    <w:rsid w:val="00EA300A"/>
    <w:rsid w:val="00EA4025"/>
    <w:rsid w:val="00EA46C9"/>
    <w:rsid w:val="00EA4929"/>
    <w:rsid w:val="00EA4C0F"/>
    <w:rsid w:val="00EA5F2B"/>
    <w:rsid w:val="00EB2223"/>
    <w:rsid w:val="00EB38B9"/>
    <w:rsid w:val="00EB42E7"/>
    <w:rsid w:val="00EB4C08"/>
    <w:rsid w:val="00EB647C"/>
    <w:rsid w:val="00EC00DA"/>
    <w:rsid w:val="00EC0B16"/>
    <w:rsid w:val="00EC16ED"/>
    <w:rsid w:val="00EC1CB2"/>
    <w:rsid w:val="00EC6E3C"/>
    <w:rsid w:val="00EC7D81"/>
    <w:rsid w:val="00ED0132"/>
    <w:rsid w:val="00ED0F78"/>
    <w:rsid w:val="00ED20EE"/>
    <w:rsid w:val="00EE3FF0"/>
    <w:rsid w:val="00EE5253"/>
    <w:rsid w:val="00EE5955"/>
    <w:rsid w:val="00EE7DFC"/>
    <w:rsid w:val="00EF05B5"/>
    <w:rsid w:val="00EF1399"/>
    <w:rsid w:val="00EF492C"/>
    <w:rsid w:val="00EF49AD"/>
    <w:rsid w:val="00EF4A40"/>
    <w:rsid w:val="00EF6750"/>
    <w:rsid w:val="00EF787F"/>
    <w:rsid w:val="00EF7994"/>
    <w:rsid w:val="00F01523"/>
    <w:rsid w:val="00F0283B"/>
    <w:rsid w:val="00F0303E"/>
    <w:rsid w:val="00F03EAD"/>
    <w:rsid w:val="00F0502E"/>
    <w:rsid w:val="00F065A7"/>
    <w:rsid w:val="00F11152"/>
    <w:rsid w:val="00F1131C"/>
    <w:rsid w:val="00F11345"/>
    <w:rsid w:val="00F171DD"/>
    <w:rsid w:val="00F17378"/>
    <w:rsid w:val="00F20334"/>
    <w:rsid w:val="00F20BC1"/>
    <w:rsid w:val="00F21745"/>
    <w:rsid w:val="00F25AE4"/>
    <w:rsid w:val="00F26EA0"/>
    <w:rsid w:val="00F276CD"/>
    <w:rsid w:val="00F311AF"/>
    <w:rsid w:val="00F31373"/>
    <w:rsid w:val="00F33121"/>
    <w:rsid w:val="00F33C3D"/>
    <w:rsid w:val="00F34A83"/>
    <w:rsid w:val="00F362D5"/>
    <w:rsid w:val="00F364B1"/>
    <w:rsid w:val="00F366F8"/>
    <w:rsid w:val="00F36B67"/>
    <w:rsid w:val="00F5313E"/>
    <w:rsid w:val="00F53D77"/>
    <w:rsid w:val="00F53E24"/>
    <w:rsid w:val="00F543D1"/>
    <w:rsid w:val="00F57F79"/>
    <w:rsid w:val="00F61AD9"/>
    <w:rsid w:val="00F65464"/>
    <w:rsid w:val="00F65C99"/>
    <w:rsid w:val="00F7247C"/>
    <w:rsid w:val="00F739C2"/>
    <w:rsid w:val="00F75BFC"/>
    <w:rsid w:val="00F760D3"/>
    <w:rsid w:val="00F83F4B"/>
    <w:rsid w:val="00F84CA0"/>
    <w:rsid w:val="00F86ED4"/>
    <w:rsid w:val="00F90C41"/>
    <w:rsid w:val="00F92C5F"/>
    <w:rsid w:val="00F96430"/>
    <w:rsid w:val="00F9772C"/>
    <w:rsid w:val="00FA3F49"/>
    <w:rsid w:val="00FA6C95"/>
    <w:rsid w:val="00FA734A"/>
    <w:rsid w:val="00FB223E"/>
    <w:rsid w:val="00FB26F2"/>
    <w:rsid w:val="00FB5C29"/>
    <w:rsid w:val="00FB78C7"/>
    <w:rsid w:val="00FC06BF"/>
    <w:rsid w:val="00FC110C"/>
    <w:rsid w:val="00FC1AB0"/>
    <w:rsid w:val="00FD035B"/>
    <w:rsid w:val="00FE05E5"/>
    <w:rsid w:val="00FE0D0C"/>
    <w:rsid w:val="00FE15ED"/>
    <w:rsid w:val="00FF1C77"/>
    <w:rsid w:val="00FF2EA2"/>
    <w:rsid w:val="00FF328E"/>
    <w:rsid w:val="00FF40CA"/>
    <w:rsid w:val="25C8347B"/>
    <w:rsid w:val="274F2EEE"/>
    <w:rsid w:val="2A3C0C00"/>
    <w:rsid w:val="339D7103"/>
    <w:rsid w:val="4B3B145B"/>
    <w:rsid w:val="520F705D"/>
    <w:rsid w:val="57716548"/>
    <w:rsid w:val="7BB02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0" w:name="List 4"/>
    <w:lsdException w:uiPriority="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99"/>
    <w:qFormat/>
    <w:uiPriority w:val="0"/>
    <w:pPr>
      <w:keepNext/>
      <w:keepLines/>
      <w:pageBreakBefore/>
      <w:spacing w:before="340" w:after="330" w:line="576" w:lineRule="auto"/>
      <w:textAlignment w:val="center"/>
      <w:outlineLvl w:val="0"/>
    </w:pPr>
    <w:rPr>
      <w:b/>
      <w:kern w:val="44"/>
      <w:sz w:val="44"/>
    </w:rPr>
  </w:style>
  <w:style w:type="paragraph" w:styleId="3">
    <w:name w:val="heading 2"/>
    <w:basedOn w:val="1"/>
    <w:next w:val="4"/>
    <w:link w:val="192"/>
    <w:qFormat/>
    <w:uiPriority w:val="0"/>
    <w:pPr>
      <w:keepNext/>
      <w:keepLines/>
      <w:tabs>
        <w:tab w:val="left" w:pos="425"/>
      </w:tabs>
      <w:spacing w:before="260" w:after="260" w:line="413" w:lineRule="auto"/>
      <w:ind w:left="425" w:hanging="425"/>
      <w:outlineLvl w:val="1"/>
    </w:pPr>
    <w:rPr>
      <w:rFonts w:ascii="Arial" w:hAnsi="Arial" w:eastAsia="黑体"/>
      <w:b/>
      <w:sz w:val="24"/>
    </w:rPr>
  </w:style>
  <w:style w:type="paragraph" w:styleId="5">
    <w:name w:val="heading 3"/>
    <w:basedOn w:val="1"/>
    <w:next w:val="1"/>
    <w:qFormat/>
    <w:uiPriority w:val="0"/>
    <w:pPr>
      <w:keepNext/>
      <w:keepLines/>
      <w:spacing w:before="260" w:after="260" w:line="413" w:lineRule="auto"/>
      <w:outlineLvl w:val="2"/>
    </w:pPr>
    <w:rPr>
      <w:b/>
      <w:sz w:val="32"/>
    </w:rPr>
  </w:style>
  <w:style w:type="paragraph" w:styleId="6">
    <w:name w:val="heading 4"/>
    <w:basedOn w:val="1"/>
    <w:next w:val="4"/>
    <w:qFormat/>
    <w:uiPriority w:val="0"/>
    <w:pPr>
      <w:keepNext/>
      <w:tabs>
        <w:tab w:val="left" w:pos="425"/>
      </w:tabs>
      <w:ind w:left="425" w:firstLine="415"/>
      <w:jc w:val="left"/>
      <w:outlineLvl w:val="3"/>
    </w:pPr>
    <w:rPr>
      <w:rFonts w:ascii="宋体" w:hAnsi="宋体"/>
    </w:rPr>
  </w:style>
  <w:style w:type="paragraph" w:styleId="7">
    <w:name w:val="heading 5"/>
    <w:basedOn w:val="1"/>
    <w:next w:val="1"/>
    <w:qFormat/>
    <w:uiPriority w:val="0"/>
    <w:pPr>
      <w:keepNext/>
      <w:jc w:val="center"/>
      <w:outlineLvl w:val="4"/>
    </w:pPr>
    <w:rPr>
      <w:sz w:val="28"/>
      <w:szCs w:val="24"/>
    </w:rPr>
  </w:style>
  <w:style w:type="paragraph" w:styleId="8">
    <w:name w:val="heading 6"/>
    <w:basedOn w:val="1"/>
    <w:next w:val="1"/>
    <w:qFormat/>
    <w:uiPriority w:val="0"/>
    <w:pPr>
      <w:keepNext/>
      <w:jc w:val="right"/>
      <w:outlineLvl w:val="5"/>
    </w:pPr>
    <w:rPr>
      <w:sz w:val="28"/>
      <w:szCs w:val="24"/>
    </w:rPr>
  </w:style>
  <w:style w:type="paragraph" w:styleId="9">
    <w:name w:val="heading 7"/>
    <w:basedOn w:val="1"/>
    <w:next w:val="4"/>
    <w:qFormat/>
    <w:uiPriority w:val="0"/>
    <w:pPr>
      <w:keepNext/>
      <w:keepLines/>
      <w:numPr>
        <w:ilvl w:val="6"/>
        <w:numId w:val="1"/>
      </w:numPr>
      <w:spacing w:before="240" w:after="64" w:line="320" w:lineRule="auto"/>
      <w:outlineLvl w:val="6"/>
    </w:pPr>
    <w:rPr>
      <w:b/>
      <w:sz w:val="24"/>
    </w:rPr>
  </w:style>
  <w:style w:type="paragraph" w:styleId="10">
    <w:name w:val="heading 8"/>
    <w:basedOn w:val="1"/>
    <w:next w:val="4"/>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4"/>
    <w:qFormat/>
    <w:uiPriority w:val="0"/>
    <w:pPr>
      <w:keepNext/>
      <w:keepLines/>
      <w:numPr>
        <w:ilvl w:val="8"/>
        <w:numId w:val="1"/>
      </w:numPr>
      <w:spacing w:before="240" w:after="64" w:line="320" w:lineRule="auto"/>
      <w:outlineLvl w:val="8"/>
    </w:pPr>
    <w:rPr>
      <w:rFonts w:ascii="Arial" w:hAnsi="Arial" w:eastAsia="黑体"/>
    </w:r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12">
    <w:name w:val="List 3"/>
    <w:basedOn w:val="1"/>
    <w:qFormat/>
    <w:uiPriority w:val="0"/>
    <w:pPr>
      <w:snapToGrid w:val="0"/>
      <w:spacing w:line="360" w:lineRule="auto"/>
      <w:ind w:left="1260" w:hanging="420"/>
    </w:pPr>
    <w:rPr>
      <w:rFonts w:ascii="宋体"/>
      <w:sz w:val="28"/>
    </w:rPr>
  </w:style>
  <w:style w:type="paragraph" w:styleId="13">
    <w:name w:val="List Number 2"/>
    <w:basedOn w:val="1"/>
    <w:qFormat/>
    <w:uiPriority w:val="0"/>
    <w:pPr>
      <w:tabs>
        <w:tab w:val="left" w:pos="780"/>
      </w:tabs>
      <w:ind w:left="780" w:hanging="360"/>
    </w:pPr>
  </w:style>
  <w:style w:type="paragraph" w:styleId="14">
    <w:name w:val="List Bullet 4"/>
    <w:basedOn w:val="1"/>
    <w:qFormat/>
    <w:uiPriority w:val="0"/>
    <w:pPr>
      <w:tabs>
        <w:tab w:val="left" w:pos="1620"/>
      </w:tabs>
      <w:ind w:left="1620" w:hanging="360"/>
    </w:pPr>
  </w:style>
  <w:style w:type="paragraph" w:styleId="15">
    <w:name w:val="List Number"/>
    <w:basedOn w:val="1"/>
    <w:qFormat/>
    <w:uiPriority w:val="0"/>
    <w:pPr>
      <w:tabs>
        <w:tab w:val="left" w:pos="360"/>
      </w:tabs>
      <w:ind w:left="360" w:hanging="360"/>
    </w:pPr>
  </w:style>
  <w:style w:type="paragraph" w:styleId="16">
    <w:name w:val="caption"/>
    <w:basedOn w:val="1"/>
    <w:next w:val="1"/>
    <w:qFormat/>
    <w:uiPriority w:val="0"/>
    <w:pPr>
      <w:spacing w:before="156" w:after="156"/>
      <w:ind w:left="422" w:hanging="422" w:hangingChars="200"/>
      <w:jc w:val="left"/>
    </w:pPr>
    <w:rPr>
      <w:rFonts w:ascii="宋体" w:hAnsi="宋体"/>
      <w:b/>
    </w:rPr>
  </w:style>
  <w:style w:type="paragraph" w:styleId="17">
    <w:name w:val="List Bullet"/>
    <w:basedOn w:val="1"/>
    <w:qFormat/>
    <w:uiPriority w:val="0"/>
    <w:pPr>
      <w:tabs>
        <w:tab w:val="left" w:pos="360"/>
      </w:tabs>
      <w:ind w:left="360" w:hanging="360"/>
    </w:pPr>
  </w:style>
  <w:style w:type="paragraph" w:styleId="18">
    <w:name w:val="Document Map"/>
    <w:basedOn w:val="1"/>
    <w:link w:val="198"/>
    <w:qFormat/>
    <w:uiPriority w:val="0"/>
    <w:rPr>
      <w:rFonts w:ascii="宋体"/>
      <w:sz w:val="18"/>
      <w:szCs w:val="18"/>
    </w:rPr>
  </w:style>
  <w:style w:type="paragraph" w:styleId="19">
    <w:name w:val="toa heading"/>
    <w:basedOn w:val="1"/>
    <w:next w:val="1"/>
    <w:semiHidden/>
    <w:qFormat/>
    <w:uiPriority w:val="0"/>
    <w:pPr>
      <w:spacing w:before="120"/>
    </w:pPr>
    <w:rPr>
      <w:rFonts w:ascii="Arial" w:hAnsi="Arial" w:cs="Arial"/>
      <w:sz w:val="24"/>
      <w:szCs w:val="24"/>
    </w:rPr>
  </w:style>
  <w:style w:type="paragraph" w:styleId="20">
    <w:name w:val="annotation text"/>
    <w:basedOn w:val="1"/>
    <w:link w:val="196"/>
    <w:semiHidden/>
    <w:qFormat/>
    <w:uiPriority w:val="0"/>
    <w:pPr>
      <w:jc w:val="left"/>
    </w:pPr>
    <w:rPr>
      <w:szCs w:val="24"/>
    </w:rPr>
  </w:style>
  <w:style w:type="paragraph" w:styleId="21">
    <w:name w:val="Salutation"/>
    <w:basedOn w:val="1"/>
    <w:next w:val="1"/>
    <w:qFormat/>
    <w:uiPriority w:val="0"/>
    <w:pPr>
      <w:widowControl/>
      <w:jc w:val="left"/>
    </w:pPr>
    <w:rPr>
      <w:kern w:val="0"/>
      <w:sz w:val="20"/>
    </w:rPr>
  </w:style>
  <w:style w:type="paragraph" w:styleId="22">
    <w:name w:val="Body Text 3"/>
    <w:basedOn w:val="1"/>
    <w:qFormat/>
    <w:uiPriority w:val="0"/>
    <w:pPr>
      <w:autoSpaceDE w:val="0"/>
      <w:autoSpaceDN w:val="0"/>
      <w:adjustRightInd w:val="0"/>
      <w:jc w:val="left"/>
    </w:pPr>
    <w:rPr>
      <w:kern w:val="0"/>
      <w:sz w:val="28"/>
    </w:rPr>
  </w:style>
  <w:style w:type="paragraph" w:styleId="23">
    <w:name w:val="List Bullet 3"/>
    <w:basedOn w:val="1"/>
    <w:qFormat/>
    <w:uiPriority w:val="0"/>
    <w:pPr>
      <w:tabs>
        <w:tab w:val="left" w:pos="1200"/>
      </w:tabs>
      <w:snapToGrid w:val="0"/>
      <w:spacing w:line="360" w:lineRule="auto"/>
      <w:ind w:left="1200" w:hanging="360"/>
    </w:pPr>
    <w:rPr>
      <w:rFonts w:ascii="宋体"/>
      <w:sz w:val="28"/>
      <w:szCs w:val="24"/>
    </w:rPr>
  </w:style>
  <w:style w:type="paragraph" w:styleId="24">
    <w:name w:val="Body Text"/>
    <w:basedOn w:val="1"/>
    <w:qFormat/>
    <w:uiPriority w:val="0"/>
    <w:rPr>
      <w:rFonts w:ascii="Arial" w:hAnsi="Arial"/>
      <w:color w:val="000000"/>
    </w:rPr>
  </w:style>
  <w:style w:type="paragraph" w:styleId="25">
    <w:name w:val="Body Text Indent"/>
    <w:basedOn w:val="1"/>
    <w:link w:val="201"/>
    <w:qFormat/>
    <w:uiPriority w:val="0"/>
    <w:pPr>
      <w:ind w:left="540"/>
    </w:pPr>
  </w:style>
  <w:style w:type="paragraph" w:styleId="26">
    <w:name w:val="List Number 3"/>
    <w:basedOn w:val="1"/>
    <w:qFormat/>
    <w:uiPriority w:val="0"/>
    <w:pPr>
      <w:tabs>
        <w:tab w:val="left" w:pos="1200"/>
      </w:tabs>
      <w:ind w:left="1200" w:hanging="360"/>
    </w:pPr>
  </w:style>
  <w:style w:type="paragraph" w:styleId="27">
    <w:name w:val="List 2"/>
    <w:basedOn w:val="1"/>
    <w:qFormat/>
    <w:uiPriority w:val="0"/>
    <w:pPr>
      <w:ind w:left="100" w:leftChars="200" w:hanging="200" w:hangingChars="200"/>
    </w:pPr>
    <w:rPr>
      <w:szCs w:val="24"/>
    </w:rPr>
  </w:style>
  <w:style w:type="paragraph" w:styleId="28">
    <w:name w:val="Block Text"/>
    <w:basedOn w:val="1"/>
    <w:qFormat/>
    <w:uiPriority w:val="0"/>
    <w:pPr>
      <w:tabs>
        <w:tab w:val="left" w:pos="3420"/>
      </w:tabs>
      <w:spacing w:line="360" w:lineRule="auto"/>
      <w:ind w:left="420" w:right="6478" w:rightChars="3085"/>
    </w:pPr>
    <w:rPr>
      <w:rFonts w:ascii="宋体" w:hAnsi="宋体"/>
      <w:sz w:val="24"/>
      <w:szCs w:val="24"/>
    </w:rPr>
  </w:style>
  <w:style w:type="paragraph" w:styleId="29">
    <w:name w:val="List Bullet 2"/>
    <w:basedOn w:val="1"/>
    <w:qFormat/>
    <w:uiPriority w:val="0"/>
    <w:pPr>
      <w:tabs>
        <w:tab w:val="left" w:pos="780"/>
      </w:tabs>
      <w:snapToGrid w:val="0"/>
      <w:spacing w:line="360" w:lineRule="auto"/>
      <w:ind w:left="780" w:hanging="360"/>
    </w:pPr>
    <w:rPr>
      <w:rFonts w:ascii="宋体"/>
      <w:sz w:val="24"/>
      <w:szCs w:val="24"/>
    </w:rPr>
  </w:style>
  <w:style w:type="paragraph" w:styleId="30">
    <w:name w:val="HTML Address"/>
    <w:basedOn w:val="1"/>
    <w:qFormat/>
    <w:uiPriority w:val="0"/>
    <w:pPr>
      <w:widowControl/>
      <w:jc w:val="left"/>
    </w:pPr>
    <w:rPr>
      <w:rFonts w:ascii="Arial Unicode MS" w:hAnsi="Arial Unicode MS" w:eastAsia="Arial Unicode MS"/>
      <w:i/>
      <w:iCs/>
      <w:kern w:val="0"/>
      <w:sz w:val="24"/>
      <w:szCs w:val="24"/>
    </w:rPr>
  </w:style>
  <w:style w:type="paragraph" w:styleId="31">
    <w:name w:val="toc 3"/>
    <w:basedOn w:val="1"/>
    <w:next w:val="1"/>
    <w:semiHidden/>
    <w:qFormat/>
    <w:uiPriority w:val="0"/>
    <w:pPr>
      <w:tabs>
        <w:tab w:val="left" w:pos="1155"/>
        <w:tab w:val="right" w:leader="dot" w:pos="9351"/>
      </w:tabs>
      <w:ind w:left="600"/>
      <w:jc w:val="left"/>
    </w:pPr>
    <w:rPr>
      <w:rFonts w:ascii="宋体" w:hAnsi="宋体"/>
      <w:bCs/>
      <w:sz w:val="28"/>
      <w:szCs w:val="32"/>
    </w:rPr>
  </w:style>
  <w:style w:type="paragraph" w:styleId="32">
    <w:name w:val="Plain Text"/>
    <w:basedOn w:val="1"/>
    <w:link w:val="200"/>
    <w:qFormat/>
    <w:uiPriority w:val="0"/>
    <w:rPr>
      <w:rFonts w:ascii="宋体" w:hAnsi="Courier New"/>
    </w:rPr>
  </w:style>
  <w:style w:type="paragraph" w:styleId="33">
    <w:name w:val="List Bullet 5"/>
    <w:basedOn w:val="1"/>
    <w:qFormat/>
    <w:uiPriority w:val="0"/>
    <w:pPr>
      <w:tabs>
        <w:tab w:val="left" w:pos="2040"/>
      </w:tabs>
      <w:ind w:left="2040" w:hanging="360"/>
    </w:pPr>
  </w:style>
  <w:style w:type="paragraph" w:styleId="34">
    <w:name w:val="List Number 4"/>
    <w:basedOn w:val="1"/>
    <w:qFormat/>
    <w:uiPriority w:val="0"/>
    <w:pPr>
      <w:tabs>
        <w:tab w:val="left" w:pos="1620"/>
      </w:tabs>
      <w:ind w:left="1620" w:hanging="360"/>
    </w:pPr>
  </w:style>
  <w:style w:type="paragraph" w:styleId="35">
    <w:name w:val="Date"/>
    <w:basedOn w:val="1"/>
    <w:next w:val="1"/>
    <w:qFormat/>
    <w:uiPriority w:val="0"/>
    <w:rPr>
      <w:rFonts w:ascii="宋体"/>
      <w:sz w:val="24"/>
    </w:rPr>
  </w:style>
  <w:style w:type="paragraph" w:styleId="36">
    <w:name w:val="Body Text Indent 2"/>
    <w:basedOn w:val="1"/>
    <w:qFormat/>
    <w:uiPriority w:val="0"/>
    <w:pPr>
      <w:ind w:left="735"/>
    </w:pPr>
  </w:style>
  <w:style w:type="paragraph" w:styleId="37">
    <w:name w:val="Balloon Text"/>
    <w:basedOn w:val="1"/>
    <w:qFormat/>
    <w:uiPriority w:val="0"/>
    <w:rPr>
      <w:sz w:val="18"/>
    </w:rPr>
  </w:style>
  <w:style w:type="paragraph" w:styleId="38">
    <w:name w:val="footer"/>
    <w:basedOn w:val="1"/>
    <w:qFormat/>
    <w:uiPriority w:val="0"/>
    <w:pPr>
      <w:tabs>
        <w:tab w:val="center" w:pos="4153"/>
        <w:tab w:val="right" w:pos="8306"/>
      </w:tabs>
      <w:snapToGrid w:val="0"/>
      <w:jc w:val="left"/>
    </w:pPr>
    <w:rPr>
      <w:sz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Signature"/>
    <w:basedOn w:val="1"/>
    <w:qFormat/>
    <w:uiPriority w:val="0"/>
    <w:pPr>
      <w:ind w:left="4320"/>
    </w:pPr>
    <w:rPr>
      <w:rFonts w:eastAsia="楷体_GB2312"/>
    </w:rPr>
  </w:style>
  <w:style w:type="paragraph" w:styleId="41">
    <w:name w:val="toc 1"/>
    <w:basedOn w:val="1"/>
    <w:next w:val="1"/>
    <w:qFormat/>
    <w:uiPriority w:val="0"/>
    <w:pPr>
      <w:tabs>
        <w:tab w:val="left" w:pos="840"/>
      </w:tabs>
      <w:spacing w:before="120" w:after="120"/>
      <w:ind w:firstLine="1261" w:firstLineChars="450"/>
      <w:jc w:val="left"/>
    </w:pPr>
    <w:rPr>
      <w:b/>
      <w:sz w:val="28"/>
    </w:rPr>
  </w:style>
  <w:style w:type="paragraph" w:styleId="42">
    <w:name w:val="Subtitle"/>
    <w:basedOn w:val="1"/>
    <w:qFormat/>
    <w:uiPriority w:val="0"/>
    <w:pPr>
      <w:spacing w:before="240" w:after="60" w:line="312" w:lineRule="auto"/>
      <w:jc w:val="center"/>
      <w:outlineLvl w:val="1"/>
    </w:pPr>
    <w:rPr>
      <w:rFonts w:ascii="Arial" w:hAnsi="Arial"/>
      <w:b/>
      <w:kern w:val="28"/>
      <w:sz w:val="32"/>
    </w:rPr>
  </w:style>
  <w:style w:type="paragraph" w:styleId="43">
    <w:name w:val="List Number 5"/>
    <w:basedOn w:val="1"/>
    <w:qFormat/>
    <w:uiPriority w:val="0"/>
    <w:pPr>
      <w:tabs>
        <w:tab w:val="left" w:pos="2040"/>
      </w:tabs>
      <w:ind w:left="2040" w:hanging="360"/>
    </w:pPr>
  </w:style>
  <w:style w:type="paragraph" w:styleId="44">
    <w:name w:val="List"/>
    <w:basedOn w:val="1"/>
    <w:qFormat/>
    <w:uiPriority w:val="0"/>
    <w:pPr>
      <w:adjustRightInd w:val="0"/>
      <w:spacing w:line="360" w:lineRule="auto"/>
      <w:ind w:left="284" w:hanging="284"/>
      <w:textAlignment w:val="baseline"/>
    </w:pPr>
    <w:rPr>
      <w:color w:val="000000"/>
      <w:kern w:val="0"/>
    </w:rPr>
  </w:style>
  <w:style w:type="paragraph" w:styleId="45">
    <w:name w:val="Body Text Indent 3"/>
    <w:basedOn w:val="1"/>
    <w:qFormat/>
    <w:uiPriority w:val="0"/>
    <w:pPr>
      <w:ind w:firstLine="480"/>
    </w:pPr>
    <w:rPr>
      <w:rFonts w:ascii="宋体" w:hAnsi="宋体"/>
      <w:b/>
    </w:rPr>
  </w:style>
  <w:style w:type="paragraph" w:styleId="46">
    <w:name w:val="toc 2"/>
    <w:basedOn w:val="1"/>
    <w:next w:val="1"/>
    <w:qFormat/>
    <w:uiPriority w:val="0"/>
    <w:pPr>
      <w:tabs>
        <w:tab w:val="left" w:pos="1055"/>
        <w:tab w:val="right" w:pos="8494"/>
      </w:tabs>
      <w:ind w:left="210"/>
      <w:jc w:val="left"/>
    </w:pPr>
    <w:rPr>
      <w:smallCaps/>
      <w:sz w:val="20"/>
    </w:rPr>
  </w:style>
  <w:style w:type="paragraph" w:styleId="47">
    <w:name w:val="Body Text 2"/>
    <w:basedOn w:val="1"/>
    <w:qFormat/>
    <w:uiPriority w:val="0"/>
    <w:pPr>
      <w:spacing w:line="480" w:lineRule="exact"/>
    </w:pPr>
    <w:rPr>
      <w:rFonts w:hAnsi="宋体"/>
      <w:b/>
      <w:bCs/>
      <w:sz w:val="28"/>
      <w:szCs w:val="24"/>
    </w:rPr>
  </w:style>
  <w:style w:type="paragraph" w:styleId="48">
    <w:name w:val="List Continue 2"/>
    <w:basedOn w:val="1"/>
    <w:qFormat/>
    <w:uiPriority w:val="0"/>
    <w:pPr>
      <w:snapToGrid w:val="0"/>
      <w:spacing w:after="120" w:line="360" w:lineRule="auto"/>
      <w:ind w:left="840" w:firstLine="420"/>
    </w:pPr>
    <w:rPr>
      <w:rFonts w:ascii="宋体"/>
      <w:sz w:val="28"/>
    </w:rPr>
  </w:style>
  <w:style w:type="paragraph" w:styleId="4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50">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51">
    <w:name w:val="index 1"/>
    <w:basedOn w:val="1"/>
    <w:next w:val="1"/>
    <w:semiHidden/>
    <w:qFormat/>
    <w:uiPriority w:val="0"/>
    <w:pPr>
      <w:jc w:val="center"/>
    </w:pPr>
    <w:rPr>
      <w:szCs w:val="24"/>
    </w:rPr>
  </w:style>
  <w:style w:type="paragraph" w:styleId="52">
    <w:name w:val="Title"/>
    <w:basedOn w:val="1"/>
    <w:qFormat/>
    <w:uiPriority w:val="0"/>
    <w:pPr>
      <w:pageBreakBefore/>
      <w:tabs>
        <w:tab w:val="left" w:pos="600"/>
        <w:tab w:val="left" w:pos="960"/>
        <w:tab w:val="left" w:pos="1080"/>
      </w:tabs>
      <w:overflowPunct w:val="0"/>
      <w:spacing w:before="240" w:after="60" w:line="360" w:lineRule="auto"/>
      <w:ind w:left="839" w:right="-357" w:firstLine="480"/>
      <w:jc w:val="center"/>
      <w:outlineLvl w:val="0"/>
    </w:pPr>
    <w:rPr>
      <w:rFonts w:ascii="Arial" w:hAnsi="Arial"/>
      <w:b/>
      <w:kern w:val="0"/>
      <w:sz w:val="36"/>
    </w:rPr>
  </w:style>
  <w:style w:type="paragraph" w:styleId="53">
    <w:name w:val="annotation subject"/>
    <w:basedOn w:val="20"/>
    <w:next w:val="20"/>
    <w:link w:val="197"/>
    <w:qFormat/>
    <w:uiPriority w:val="0"/>
    <w:rPr>
      <w:b/>
      <w:bCs/>
      <w:szCs w:val="20"/>
    </w:rPr>
  </w:style>
  <w:style w:type="paragraph" w:styleId="54">
    <w:name w:val="Body Text First Indent"/>
    <w:basedOn w:val="24"/>
    <w:qFormat/>
    <w:uiPriority w:val="0"/>
    <w:pPr>
      <w:spacing w:after="120"/>
      <w:ind w:firstLine="420" w:firstLineChars="100"/>
    </w:pPr>
    <w:rPr>
      <w:rFonts w:ascii="Times New Roman" w:hAnsi="Times New Roman"/>
      <w:color w:val="auto"/>
    </w:rPr>
  </w:style>
  <w:style w:type="paragraph" w:styleId="55">
    <w:name w:val="Body Text First Indent 2"/>
    <w:basedOn w:val="25"/>
    <w:qFormat/>
    <w:uiPriority w:val="0"/>
    <w:pPr>
      <w:snapToGrid w:val="0"/>
      <w:spacing w:after="120" w:line="360" w:lineRule="auto"/>
      <w:ind w:left="420" w:firstLine="210"/>
    </w:pPr>
    <w:rPr>
      <w:rFonts w:ascii="宋体"/>
      <w:sz w:val="28"/>
    </w:rPr>
  </w:style>
  <w:style w:type="table" w:styleId="57">
    <w:name w:val="Table Grid"/>
    <w:basedOn w:val="5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9">
    <w:name w:val="Strong"/>
    <w:qFormat/>
    <w:uiPriority w:val="0"/>
    <w:rPr>
      <w:b/>
      <w:bCs/>
    </w:rPr>
  </w:style>
  <w:style w:type="character" w:styleId="60">
    <w:name w:val="page number"/>
    <w:basedOn w:val="58"/>
    <w:qFormat/>
    <w:uiPriority w:val="0"/>
  </w:style>
  <w:style w:type="character" w:styleId="61">
    <w:name w:val="FollowedHyperlink"/>
    <w:qFormat/>
    <w:uiPriority w:val="0"/>
    <w:rPr>
      <w:color w:val="800080"/>
      <w:u w:val="single"/>
    </w:rPr>
  </w:style>
  <w:style w:type="character" w:styleId="62">
    <w:name w:val="Emphasis"/>
    <w:basedOn w:val="58"/>
    <w:qFormat/>
    <w:uiPriority w:val="20"/>
    <w:rPr>
      <w:i/>
      <w:iCs/>
    </w:rPr>
  </w:style>
  <w:style w:type="character" w:styleId="63">
    <w:name w:val="Hyperlink"/>
    <w:qFormat/>
    <w:uiPriority w:val="0"/>
    <w:rPr>
      <w:color w:val="0000FF"/>
      <w:u w:val="single"/>
    </w:rPr>
  </w:style>
  <w:style w:type="character" w:styleId="64">
    <w:name w:val="annotation reference"/>
    <w:semiHidden/>
    <w:qFormat/>
    <w:uiPriority w:val="0"/>
    <w:rPr>
      <w:sz w:val="21"/>
      <w:szCs w:val="21"/>
    </w:rPr>
  </w:style>
  <w:style w:type="character" w:customStyle="1" w:styleId="65">
    <w:name w:val="meuncn1"/>
    <w:qFormat/>
    <w:uiPriority w:val="0"/>
    <w:rPr>
      <w:rFonts w:hint="eastAsia" w:ascii="宋体" w:hAnsi="宋体" w:eastAsia="宋体"/>
      <w:color w:val="666666"/>
      <w:sz w:val="18"/>
      <w:u w:val="none"/>
    </w:rPr>
  </w:style>
  <w:style w:type="character" w:customStyle="1" w:styleId="66">
    <w:name w:val="批注框文本 Char"/>
    <w:qFormat/>
    <w:uiPriority w:val="0"/>
    <w:rPr>
      <w:kern w:val="2"/>
      <w:sz w:val="18"/>
    </w:rPr>
  </w:style>
  <w:style w:type="character" w:customStyle="1" w:styleId="67">
    <w:name w:val="Highlighted Variable"/>
    <w:qFormat/>
    <w:uiPriority w:val="0"/>
    <w:rPr>
      <w:color w:val="000000"/>
    </w:rPr>
  </w:style>
  <w:style w:type="character" w:customStyle="1" w:styleId="68">
    <w:name w:val="bold1"/>
    <w:qFormat/>
    <w:uiPriority w:val="0"/>
    <w:rPr>
      <w:sz w:val="32"/>
    </w:rPr>
  </w:style>
  <w:style w:type="character" w:customStyle="1" w:styleId="69">
    <w:name w:val="wctjfont1"/>
    <w:qFormat/>
    <w:uiPriority w:val="0"/>
    <w:rPr>
      <w:sz w:val="18"/>
    </w:rPr>
  </w:style>
  <w:style w:type="paragraph" w:customStyle="1" w:styleId="70">
    <w:name w:val="普通(Web)"/>
    <w:basedOn w:val="1"/>
    <w:qFormat/>
    <w:uiPriority w:val="0"/>
    <w:pPr>
      <w:widowControl/>
      <w:spacing w:before="100" w:beforeAutospacing="1" w:after="100" w:afterAutospacing="1" w:line="240" w:lineRule="atLeast"/>
      <w:ind w:firstLine="360"/>
      <w:jc w:val="left"/>
    </w:pPr>
    <w:rPr>
      <w:rFonts w:ascii="宋体" w:hAnsi="宋体"/>
      <w:kern w:val="0"/>
      <w:sz w:val="18"/>
    </w:rPr>
  </w:style>
  <w:style w:type="paragraph" w:customStyle="1" w:styleId="71">
    <w:name w:val="信息标题2"/>
    <w:basedOn w:val="16"/>
    <w:next w:val="16"/>
    <w:qFormat/>
    <w:uiPriority w:val="0"/>
    <w:rPr>
      <w:rFonts w:ascii="Arial Black" w:hAnsi="Arial Black"/>
      <w:sz w:val="30"/>
    </w:rPr>
  </w:style>
  <w:style w:type="paragraph" w:styleId="72">
    <w:name w:val="List Paragraph"/>
    <w:basedOn w:val="1"/>
    <w:qFormat/>
    <w:uiPriority w:val="34"/>
    <w:pPr>
      <w:ind w:firstLine="420" w:firstLineChars="200"/>
    </w:pPr>
  </w:style>
  <w:style w:type="paragraph" w:customStyle="1" w:styleId="73">
    <w:name w:val="题目副题"/>
    <w:basedOn w:val="42"/>
    <w:qFormat/>
    <w:uiPriority w:val="0"/>
    <w:pPr>
      <w:spacing w:before="0" w:after="312"/>
      <w:ind w:left="240" w:firstLine="600"/>
      <w:jc w:val="left"/>
      <w:outlineLvl w:val="9"/>
    </w:pPr>
    <w:rPr>
      <w:rFonts w:ascii="宋体" w:hAnsi="宋体"/>
      <w:sz w:val="30"/>
    </w:rPr>
  </w:style>
  <w:style w:type="paragraph" w:customStyle="1" w:styleId="74">
    <w:name w:val="表格栏头"/>
    <w:basedOn w:val="75"/>
    <w:next w:val="75"/>
    <w:qFormat/>
    <w:uiPriority w:val="0"/>
    <w:rPr>
      <w:b/>
    </w:rPr>
  </w:style>
  <w:style w:type="paragraph" w:customStyle="1" w:styleId="75">
    <w:name w:val="表格正文"/>
    <w:basedOn w:val="1"/>
    <w:qFormat/>
    <w:uiPriority w:val="0"/>
    <w:pPr>
      <w:widowControl/>
      <w:overflowPunct w:val="0"/>
      <w:autoSpaceDE w:val="0"/>
      <w:autoSpaceDN w:val="0"/>
      <w:adjustRightInd w:val="0"/>
      <w:spacing w:before="312" w:after="312" w:line="360" w:lineRule="auto"/>
      <w:jc w:val="left"/>
      <w:textAlignment w:val="baseline"/>
    </w:pPr>
    <w:rPr>
      <w:rFonts w:ascii="宋体" w:hAnsi="Tahoma"/>
      <w:kern w:val="0"/>
      <w:sz w:val="24"/>
    </w:rPr>
  </w:style>
  <w:style w:type="paragraph" w:customStyle="1" w:styleId="76">
    <w:name w:val="正文列表"/>
    <w:basedOn w:val="1"/>
    <w:qFormat/>
    <w:uiPriority w:val="0"/>
    <w:pPr>
      <w:autoSpaceDE w:val="0"/>
      <w:autoSpaceDN w:val="0"/>
      <w:adjustRightInd w:val="0"/>
      <w:jc w:val="center"/>
      <w:textAlignment w:val="baseline"/>
    </w:pPr>
    <w:rPr>
      <w:rFonts w:ascii="宋体" w:hAnsi="宋体"/>
      <w:kern w:val="0"/>
      <w:sz w:val="24"/>
    </w:rPr>
  </w:style>
  <w:style w:type="paragraph" w:customStyle="1" w:styleId="77">
    <w:name w:val="版权"/>
    <w:basedOn w:val="1"/>
    <w:qFormat/>
    <w:uiPriority w:val="0"/>
    <w:pPr>
      <w:spacing w:before="312" w:after="312"/>
      <w:ind w:firstLine="480"/>
      <w:jc w:val="center"/>
      <w:outlineLvl w:val="0"/>
    </w:pPr>
    <w:rPr>
      <w:rFonts w:ascii="华文中宋" w:hAnsi="华文中宋"/>
      <w:b/>
      <w:sz w:val="24"/>
    </w:rPr>
  </w:style>
  <w:style w:type="paragraph" w:customStyle="1" w:styleId="78">
    <w:name w:val="Char"/>
    <w:basedOn w:val="1"/>
    <w:qFormat/>
    <w:uiPriority w:val="0"/>
    <w:pPr>
      <w:numPr>
        <w:ilvl w:val="0"/>
        <w:numId w:val="2"/>
      </w:numPr>
    </w:pPr>
    <w:rPr>
      <w:sz w:val="24"/>
      <w:szCs w:val="24"/>
    </w:rPr>
  </w:style>
  <w:style w:type="paragraph" w:customStyle="1" w:styleId="79">
    <w:name w:val="Char1 Char Char Char Char Char Char Char Char Char"/>
    <w:basedOn w:val="1"/>
    <w:qFormat/>
    <w:uiPriority w:val="0"/>
    <w:pPr>
      <w:adjustRightInd w:val="0"/>
      <w:spacing w:line="360" w:lineRule="auto"/>
    </w:pPr>
    <w:rPr>
      <w:kern w:val="0"/>
      <w:sz w:val="24"/>
    </w:rPr>
  </w:style>
  <w:style w:type="paragraph" w:customStyle="1" w:styleId="80">
    <w:name w:val="Char2 Char Char1 Char"/>
    <w:basedOn w:val="1"/>
    <w:qFormat/>
    <w:uiPriority w:val="0"/>
    <w:pPr>
      <w:widowControl/>
      <w:spacing w:after="160" w:line="240" w:lineRule="exact"/>
      <w:jc w:val="left"/>
    </w:pPr>
    <w:rPr>
      <w:rFonts w:ascii="Verdana" w:hAnsi="Verdana" w:eastAsia="楷体_GB2312"/>
      <w:b/>
      <w:i/>
      <w:iCs/>
      <w:color w:val="000000"/>
      <w:kern w:val="0"/>
      <w:sz w:val="20"/>
      <w:lang w:eastAsia="en-US"/>
    </w:rPr>
  </w:style>
  <w:style w:type="paragraph" w:customStyle="1" w:styleId="81">
    <w:name w:val="p9"/>
    <w:basedOn w:val="1"/>
    <w:qFormat/>
    <w:uiPriority w:val="0"/>
    <w:pPr>
      <w:widowControl/>
      <w:spacing w:before="100" w:beforeAutospacing="1" w:after="100" w:afterAutospacing="1"/>
      <w:jc w:val="left"/>
    </w:pPr>
    <w:rPr>
      <w:rFonts w:eastAsia="Arial Unicode MS" w:cs="Arial Unicode MS"/>
      <w:color w:val="000000"/>
      <w:kern w:val="0"/>
      <w:sz w:val="18"/>
      <w:szCs w:val="18"/>
    </w:rPr>
  </w:style>
  <w:style w:type="paragraph" w:customStyle="1" w:styleId="82">
    <w:name w:val="1"/>
    <w:basedOn w:val="1"/>
    <w:next w:val="32"/>
    <w:qFormat/>
    <w:uiPriority w:val="0"/>
    <w:rPr>
      <w:rFonts w:ascii="宋体" w:hAnsi="Courier New"/>
    </w:rPr>
  </w:style>
  <w:style w:type="paragraph" w:customStyle="1" w:styleId="8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84">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85">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 w:val="22"/>
      <w:szCs w:val="22"/>
    </w:rPr>
  </w:style>
  <w:style w:type="paragraph" w:customStyle="1" w:styleId="86">
    <w:name w:val="xl2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 w:val="22"/>
      <w:szCs w:val="22"/>
    </w:rPr>
  </w:style>
  <w:style w:type="paragraph" w:customStyle="1" w:styleId="8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top"/>
    </w:pPr>
    <w:rPr>
      <w:rFonts w:ascii="宋体" w:hAnsi="宋体"/>
      <w:kern w:val="0"/>
      <w:sz w:val="22"/>
      <w:szCs w:val="22"/>
    </w:rPr>
  </w:style>
  <w:style w:type="paragraph" w:customStyle="1" w:styleId="88">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ascii="宋体" w:hAnsi="宋体"/>
      <w:kern w:val="0"/>
      <w:sz w:val="22"/>
      <w:szCs w:val="22"/>
    </w:rPr>
  </w:style>
  <w:style w:type="paragraph" w:customStyle="1" w:styleId="89">
    <w:name w:val="标题3"/>
    <w:basedOn w:val="5"/>
    <w:qFormat/>
    <w:uiPriority w:val="0"/>
    <w:pPr>
      <w:spacing w:line="416" w:lineRule="auto"/>
    </w:pPr>
    <w:rPr>
      <w:rFonts w:ascii="宋体" w:hAnsi="宋体"/>
      <w:bCs/>
      <w:sz w:val="28"/>
      <w:szCs w:val="28"/>
    </w:rPr>
  </w:style>
  <w:style w:type="paragraph" w:customStyle="1" w:styleId="90">
    <w:name w:val="HTML Top of Form"/>
    <w:basedOn w:val="1"/>
    <w:next w:val="1"/>
    <w:hidden/>
    <w:qFormat/>
    <w:uiPriority w:val="0"/>
    <w:pPr>
      <w:widowControl/>
      <w:pBdr>
        <w:bottom w:val="single" w:color="auto" w:sz="6" w:space="1"/>
      </w:pBdr>
      <w:jc w:val="center"/>
    </w:pPr>
    <w:rPr>
      <w:rFonts w:ascii="Arial" w:hAnsi="Arial" w:cs="Arial"/>
      <w:vanish/>
      <w:kern w:val="0"/>
      <w:sz w:val="16"/>
      <w:szCs w:val="16"/>
    </w:rPr>
  </w:style>
  <w:style w:type="character" w:customStyle="1" w:styleId="91">
    <w:name w:val="point_normal"/>
    <w:basedOn w:val="58"/>
    <w:qFormat/>
    <w:uiPriority w:val="0"/>
  </w:style>
  <w:style w:type="character" w:customStyle="1" w:styleId="92">
    <w:name w:val="para"/>
    <w:basedOn w:val="58"/>
    <w:qFormat/>
    <w:uiPriority w:val="0"/>
  </w:style>
  <w:style w:type="paragraph" w:customStyle="1" w:styleId="93">
    <w:name w:val="图"/>
    <w:basedOn w:val="1"/>
    <w:qFormat/>
    <w:uiPriority w:val="0"/>
    <w:pPr>
      <w:keepNext/>
      <w:adjustRightInd w:val="0"/>
      <w:spacing w:before="60" w:after="60" w:line="300" w:lineRule="auto"/>
      <w:jc w:val="center"/>
      <w:textAlignment w:val="center"/>
    </w:pPr>
    <w:rPr>
      <w:snapToGrid w:val="0"/>
      <w:spacing w:val="20"/>
      <w:kern w:val="0"/>
      <w:sz w:val="24"/>
    </w:rPr>
  </w:style>
  <w:style w:type="character" w:customStyle="1" w:styleId="94">
    <w:name w:val="font-121"/>
    <w:qFormat/>
    <w:uiPriority w:val="0"/>
    <w:rPr>
      <w:color w:val="666666"/>
      <w:spacing w:val="300"/>
      <w:sz w:val="18"/>
      <w:szCs w:val="18"/>
      <w:u w:val="none"/>
    </w:rPr>
  </w:style>
  <w:style w:type="character" w:customStyle="1" w:styleId="95">
    <w:name w:val="txt1"/>
    <w:qFormat/>
    <w:uiPriority w:val="0"/>
    <w:rPr>
      <w:rFonts w:hint="default"/>
      <w:spacing w:val="300"/>
      <w:sz w:val="18"/>
      <w:szCs w:val="18"/>
    </w:rPr>
  </w:style>
  <w:style w:type="paragraph" w:customStyle="1" w:styleId="96">
    <w:name w:val="文档正文"/>
    <w:basedOn w:val="1"/>
    <w:qFormat/>
    <w:uiPriority w:val="0"/>
    <w:rPr>
      <w:rFonts w:ascii="Arial" w:hAnsi="Arial" w:cs="Arial"/>
      <w:bCs/>
      <w:sz w:val="24"/>
      <w:szCs w:val="24"/>
    </w:rPr>
  </w:style>
  <w:style w:type="paragraph" w:customStyle="1" w:styleId="97">
    <w:name w:val="font6"/>
    <w:basedOn w:val="1"/>
    <w:qFormat/>
    <w:uiPriority w:val="0"/>
    <w:pPr>
      <w:widowControl/>
      <w:spacing w:before="100" w:beforeAutospacing="1" w:after="100" w:afterAutospacing="1"/>
      <w:jc w:val="left"/>
    </w:pPr>
    <w:rPr>
      <w:rFonts w:hint="eastAsia" w:ascii="宋体" w:hAnsi="宋体"/>
      <w:kern w:val="0"/>
      <w:sz w:val="22"/>
      <w:szCs w:val="22"/>
    </w:rPr>
  </w:style>
  <w:style w:type="paragraph" w:customStyle="1" w:styleId="98">
    <w:name w:val="font7"/>
    <w:basedOn w:val="1"/>
    <w:qFormat/>
    <w:uiPriority w:val="0"/>
    <w:pPr>
      <w:widowControl/>
      <w:spacing w:before="100" w:beforeAutospacing="1" w:after="100" w:afterAutospacing="1"/>
      <w:jc w:val="left"/>
    </w:pPr>
    <w:rPr>
      <w:kern w:val="0"/>
      <w:sz w:val="22"/>
      <w:szCs w:val="22"/>
    </w:rPr>
  </w:style>
  <w:style w:type="paragraph" w:customStyle="1" w:styleId="99">
    <w:name w:val="font8"/>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0">
    <w:name w:val="font9"/>
    <w:basedOn w:val="1"/>
    <w:qFormat/>
    <w:uiPriority w:val="0"/>
    <w:pPr>
      <w:widowControl/>
      <w:spacing w:before="100" w:beforeAutospacing="1" w:after="100" w:afterAutospacing="1"/>
      <w:jc w:val="left"/>
    </w:pPr>
    <w:rPr>
      <w:rFonts w:hint="eastAsia" w:ascii="宋体" w:hAnsi="宋体"/>
      <w:kern w:val="0"/>
      <w:sz w:val="22"/>
      <w:szCs w:val="22"/>
    </w:rPr>
  </w:style>
  <w:style w:type="paragraph" w:customStyle="1" w:styleId="1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102">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03">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104">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05">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106">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0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10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109">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11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111">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11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szCs w:val="24"/>
    </w:rPr>
  </w:style>
  <w:style w:type="paragraph" w:customStyle="1" w:styleId="114">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115">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16">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17">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18">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119">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20">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21">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22">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23">
    <w:name w:val="签名 - 公司"/>
    <w:basedOn w:val="40"/>
    <w:next w:val="124"/>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124">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rPr>
  </w:style>
  <w:style w:type="paragraph" w:customStyle="1" w:styleId="125">
    <w:name w:val="正文缩进1"/>
    <w:basedOn w:val="1"/>
    <w:qFormat/>
    <w:uiPriority w:val="0"/>
    <w:pPr>
      <w:ind w:firstLine="567"/>
    </w:pPr>
    <w:rPr>
      <w:spacing w:val="20"/>
      <w:sz w:val="24"/>
    </w:rPr>
  </w:style>
  <w:style w:type="character" w:customStyle="1" w:styleId="126">
    <w:name w:val="unnamed21"/>
    <w:qFormat/>
    <w:uiPriority w:val="0"/>
    <w:rPr>
      <w:color w:val="CC6633"/>
      <w:u w:val="none"/>
    </w:rPr>
  </w:style>
  <w:style w:type="paragraph" w:customStyle="1" w:styleId="127">
    <w:name w:val="正文内容"/>
    <w:basedOn w:val="1"/>
    <w:qFormat/>
    <w:uiPriority w:val="0"/>
    <w:rPr>
      <w:rFonts w:ascii="Arial" w:hAnsi="Arial"/>
      <w:spacing w:val="-12"/>
    </w:rPr>
  </w:style>
  <w:style w:type="paragraph" w:customStyle="1" w:styleId="128">
    <w:name w:val="l2"/>
    <w:basedOn w:val="1"/>
    <w:qFormat/>
    <w:uiPriority w:val="0"/>
    <w:pPr>
      <w:keepLines/>
      <w:widowControl/>
      <w:spacing w:beforeLines="50" w:afterLines="50" w:line="300" w:lineRule="auto"/>
    </w:pPr>
    <w:rPr>
      <w:rFonts w:ascii="Arial" w:hAnsi="Arial"/>
      <w:bCs/>
      <w:szCs w:val="24"/>
    </w:rPr>
  </w:style>
  <w:style w:type="paragraph" w:customStyle="1" w:styleId="129">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130">
    <w:name w:val="cnfont"/>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131">
    <w:name w:val="cnfont1"/>
    <w:basedOn w:val="58"/>
    <w:qFormat/>
    <w:uiPriority w:val="0"/>
  </w:style>
  <w:style w:type="paragraph" w:customStyle="1" w:styleId="132">
    <w:name w:val="Table Heading"/>
    <w:basedOn w:val="1"/>
    <w:qFormat/>
    <w:uiPriority w:val="0"/>
    <w:pPr>
      <w:widowControl/>
      <w:jc w:val="center"/>
    </w:pPr>
    <w:rPr>
      <w:rFonts w:ascii="Arial" w:hAnsi="Arial"/>
      <w:b/>
      <w:kern w:val="0"/>
      <w:sz w:val="18"/>
    </w:rPr>
  </w:style>
  <w:style w:type="paragraph" w:customStyle="1" w:styleId="133">
    <w:name w:val="Table Body"/>
    <w:basedOn w:val="1"/>
    <w:qFormat/>
    <w:uiPriority w:val="0"/>
    <w:pPr>
      <w:widowControl/>
      <w:jc w:val="center"/>
    </w:pPr>
    <w:rPr>
      <w:rFonts w:ascii="Arial" w:hAnsi="Arial"/>
      <w:snapToGrid w:val="0"/>
      <w:kern w:val="0"/>
      <w:sz w:val="18"/>
    </w:rPr>
  </w:style>
  <w:style w:type="paragraph" w:customStyle="1" w:styleId="134">
    <w:name w:val="样式1"/>
    <w:basedOn w:val="1"/>
    <w:qFormat/>
    <w:uiPriority w:val="0"/>
    <w:pPr>
      <w:adjustRightInd w:val="0"/>
      <w:snapToGrid w:val="0"/>
      <w:spacing w:before="40" w:after="40" w:line="300" w:lineRule="auto"/>
      <w:ind w:left="425" w:hanging="425"/>
      <w:jc w:val="center"/>
      <w:textAlignment w:val="center"/>
    </w:pPr>
    <w:rPr>
      <w:snapToGrid w:val="0"/>
      <w:spacing w:val="20"/>
      <w:kern w:val="0"/>
      <w:sz w:val="18"/>
    </w:rPr>
  </w:style>
  <w:style w:type="paragraph" w:customStyle="1" w:styleId="135">
    <w:name w:val="正文样式"/>
    <w:basedOn w:val="1"/>
    <w:qFormat/>
    <w:uiPriority w:val="0"/>
    <w:pPr>
      <w:tabs>
        <w:tab w:val="left" w:pos="1560"/>
      </w:tabs>
      <w:spacing w:before="163" w:after="163" w:line="300" w:lineRule="auto"/>
      <w:ind w:left="1560" w:hanging="360"/>
    </w:pPr>
    <w:rPr>
      <w:rFonts w:ascii="宋体"/>
      <w:sz w:val="24"/>
      <w:szCs w:val="24"/>
    </w:rPr>
  </w:style>
  <w:style w:type="paragraph" w:customStyle="1" w:styleId="136">
    <w:name w:val="标题5"/>
    <w:basedOn w:val="1"/>
    <w:qFormat/>
    <w:uiPriority w:val="0"/>
    <w:pPr>
      <w:spacing w:before="120" w:after="120"/>
    </w:pPr>
    <w:rPr>
      <w:rFonts w:ascii="宋体"/>
      <w:b/>
      <w:sz w:val="28"/>
      <w:szCs w:val="24"/>
    </w:rPr>
  </w:style>
  <w:style w:type="paragraph" w:customStyle="1" w:styleId="137">
    <w:name w:val="4"/>
    <w:basedOn w:val="1"/>
    <w:qFormat/>
    <w:uiPriority w:val="0"/>
    <w:rPr>
      <w:szCs w:val="24"/>
    </w:rPr>
  </w:style>
  <w:style w:type="paragraph" w:customStyle="1" w:styleId="138">
    <w:name w:val="样式2"/>
    <w:basedOn w:val="31"/>
    <w:qFormat/>
    <w:uiPriority w:val="0"/>
    <w:pPr>
      <w:tabs>
        <w:tab w:val="right" w:leader="dot" w:pos="9458"/>
        <w:tab w:val="clear" w:pos="1155"/>
        <w:tab w:val="clear" w:pos="9351"/>
      </w:tabs>
      <w:ind w:left="420"/>
    </w:pPr>
    <w:rPr>
      <w:rFonts w:ascii="Arial" w:hAnsi="Times New Roman" w:cs="Arial"/>
      <w:bCs w:val="0"/>
      <w:iCs/>
      <w:sz w:val="20"/>
      <w:szCs w:val="20"/>
    </w:rPr>
  </w:style>
  <w:style w:type="paragraph" w:customStyle="1" w:styleId="139">
    <w:name w:val="样式3"/>
    <w:basedOn w:val="31"/>
    <w:qFormat/>
    <w:uiPriority w:val="0"/>
    <w:pPr>
      <w:tabs>
        <w:tab w:val="right" w:leader="dot" w:pos="9458"/>
        <w:tab w:val="clear" w:pos="1155"/>
        <w:tab w:val="clear" w:pos="9351"/>
      </w:tabs>
      <w:ind w:left="420"/>
    </w:pPr>
    <w:rPr>
      <w:rFonts w:ascii="Times New Roman" w:hAnsi="Times New Roman"/>
      <w:bCs w:val="0"/>
      <w:iCs/>
      <w:sz w:val="20"/>
      <w:szCs w:val="20"/>
    </w:rPr>
  </w:style>
  <w:style w:type="paragraph" w:customStyle="1" w:styleId="140">
    <w:name w:val="样式4"/>
    <w:basedOn w:val="41"/>
    <w:qFormat/>
    <w:uiPriority w:val="0"/>
    <w:pPr>
      <w:tabs>
        <w:tab w:val="right" w:leader="dot" w:pos="9458"/>
        <w:tab w:val="clear" w:pos="840"/>
      </w:tabs>
      <w:ind w:firstLine="178" w:firstLineChars="74"/>
    </w:pPr>
    <w:rPr>
      <w:b w:val="0"/>
      <w:caps/>
      <w:sz w:val="20"/>
    </w:rPr>
  </w:style>
  <w:style w:type="paragraph" w:customStyle="1" w:styleId="141">
    <w:name w:val="样式5"/>
    <w:basedOn w:val="140"/>
    <w:next w:val="140"/>
    <w:qFormat/>
    <w:uiPriority w:val="0"/>
  </w:style>
  <w:style w:type="paragraph" w:customStyle="1" w:styleId="142">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143">
    <w:name w:val="编号"/>
    <w:basedOn w:val="1"/>
    <w:qFormat/>
    <w:uiPriority w:val="0"/>
    <w:pPr>
      <w:spacing w:afterLines="50" w:line="300" w:lineRule="auto"/>
      <w:ind w:left="737" w:hanging="312"/>
      <w:jc w:val="left"/>
      <w:textAlignment w:val="center"/>
    </w:pPr>
    <w:rPr>
      <w:rFonts w:eastAsia="仿宋_GB2312"/>
      <w:spacing w:val="20"/>
    </w:rPr>
  </w:style>
  <w:style w:type="paragraph" w:customStyle="1" w:styleId="144">
    <w:name w:val="表项"/>
    <w:next w:val="145"/>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145">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146">
    <w:name w:val="需求书2"/>
    <w:basedOn w:val="1"/>
    <w:qFormat/>
    <w:uiPriority w:val="0"/>
    <w:pPr>
      <w:widowControl/>
      <w:jc w:val="center"/>
    </w:pPr>
    <w:rPr>
      <w:rFonts w:ascii="宋体" w:hAnsi="宋体" w:cs="Arial"/>
      <w:color w:val="FF0000"/>
      <w:kern w:val="0"/>
      <w:sz w:val="20"/>
    </w:rPr>
  </w:style>
  <w:style w:type="character" w:customStyle="1" w:styleId="147">
    <w:name w:val="ccwheading011"/>
    <w:qFormat/>
    <w:uiPriority w:val="0"/>
    <w:rPr>
      <w:b/>
      <w:bCs/>
      <w:color w:val="FF7D01"/>
      <w:spacing w:val="432"/>
      <w:sz w:val="36"/>
      <w:szCs w:val="36"/>
    </w:rPr>
  </w:style>
  <w:style w:type="paragraph" w:customStyle="1" w:styleId="148">
    <w:name w:val="font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149">
    <w:name w:val="ll1"/>
    <w:qFormat/>
    <w:uiPriority w:val="0"/>
    <w:rPr>
      <w:spacing w:val="360"/>
    </w:rPr>
  </w:style>
  <w:style w:type="paragraph" w:customStyle="1" w:styleId="150">
    <w:name w:val="HTML Bottom of Form"/>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51">
    <w:name w:val="日期1"/>
    <w:basedOn w:val="1"/>
    <w:next w:val="1"/>
    <w:qFormat/>
    <w:uiPriority w:val="0"/>
    <w:pPr>
      <w:autoSpaceDE w:val="0"/>
      <w:autoSpaceDN w:val="0"/>
      <w:adjustRightInd w:val="0"/>
      <w:jc w:val="right"/>
      <w:textAlignment w:val="baseline"/>
    </w:pPr>
    <w:rPr>
      <w:rFonts w:ascii="宋体" w:hAnsi="Tms Rmn"/>
      <w:b/>
      <w:kern w:val="0"/>
      <w:sz w:val="28"/>
    </w:rPr>
  </w:style>
  <w:style w:type="paragraph" w:customStyle="1" w:styleId="152">
    <w:name w:val="Bullet"/>
    <w:basedOn w:val="24"/>
    <w:qFormat/>
    <w:uiPriority w:val="0"/>
    <w:pPr>
      <w:widowControl/>
      <w:overflowPunct w:val="0"/>
      <w:autoSpaceDE w:val="0"/>
      <w:autoSpaceDN w:val="0"/>
      <w:adjustRightInd w:val="0"/>
      <w:ind w:left="283" w:hanging="283"/>
      <w:textAlignment w:val="baseline"/>
    </w:pPr>
    <w:rPr>
      <w:color w:val="auto"/>
      <w:kern w:val="20"/>
      <w:sz w:val="20"/>
      <w:lang w:val="en-GB"/>
    </w:rPr>
  </w:style>
  <w:style w:type="paragraph" w:customStyle="1" w:styleId="153">
    <w:name w:val="titolo pri 1"/>
    <w:qFormat/>
    <w:uiPriority w:val="0"/>
    <w:rPr>
      <w:rFonts w:ascii="Arial" w:hAnsi="Arial" w:eastAsia="宋体" w:cs="Times New Roman"/>
      <w:b/>
      <w:sz w:val="28"/>
      <w:lang w:val="en-US" w:eastAsia="zh-CN" w:bidi="ar-SA"/>
    </w:rPr>
  </w:style>
  <w:style w:type="paragraph" w:customStyle="1" w:styleId="154">
    <w:name w:val="样式 正文缩进 + 首行缩进:  2 字符"/>
    <w:basedOn w:val="4"/>
    <w:qFormat/>
    <w:uiPriority w:val="0"/>
    <w:pPr>
      <w:spacing w:before="160" w:after="160" w:line="360" w:lineRule="auto"/>
      <w:ind w:firstLine="480" w:firstLineChars="200"/>
    </w:pPr>
    <w:rPr>
      <w:rFonts w:ascii="宋体"/>
      <w:sz w:val="24"/>
      <w:szCs w:val="24"/>
    </w:rPr>
  </w:style>
  <w:style w:type="paragraph" w:customStyle="1" w:styleId="155">
    <w:name w:val="纯文本1"/>
    <w:basedOn w:val="1"/>
    <w:qFormat/>
    <w:uiPriority w:val="0"/>
    <w:pPr>
      <w:overflowPunct w:val="0"/>
      <w:autoSpaceDE w:val="0"/>
      <w:autoSpaceDN w:val="0"/>
      <w:adjustRightInd w:val="0"/>
      <w:textAlignment w:val="baseline"/>
    </w:pPr>
    <w:rPr>
      <w:rFonts w:ascii="宋体"/>
    </w:rPr>
  </w:style>
  <w:style w:type="paragraph" w:customStyle="1" w:styleId="156">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57">
    <w:name w:val="样式 标题 22nd levelh22Header 2H2l2Heading 2LN2título 2DO ..."/>
    <w:basedOn w:val="3"/>
    <w:qFormat/>
    <w:uiPriority w:val="0"/>
    <w:pPr>
      <w:keepNext w:val="0"/>
      <w:keepLines w:val="0"/>
      <w:numPr>
        <w:ilvl w:val="1"/>
        <w:numId w:val="3"/>
      </w:numPr>
      <w:tabs>
        <w:tab w:val="clear" w:pos="425"/>
      </w:tabs>
      <w:snapToGrid w:val="0"/>
      <w:spacing w:before="360" w:after="120" w:line="360" w:lineRule="auto"/>
    </w:pPr>
    <w:rPr>
      <w:rFonts w:ascii="宋体" w:hAnsi="宋体" w:eastAsia="宋体"/>
      <w:bCs/>
      <w:szCs w:val="24"/>
    </w:rPr>
  </w:style>
  <w:style w:type="paragraph" w:customStyle="1" w:styleId="158">
    <w:name w:val="次小点说明"/>
    <w:basedOn w:val="1"/>
    <w:qFormat/>
    <w:uiPriority w:val="0"/>
    <w:pPr>
      <w:numPr>
        <w:ilvl w:val="0"/>
        <w:numId w:val="4"/>
      </w:numPr>
      <w:adjustRightInd w:val="0"/>
      <w:snapToGrid w:val="0"/>
      <w:spacing w:line="360" w:lineRule="auto"/>
    </w:pPr>
    <w:rPr>
      <w:szCs w:val="24"/>
    </w:rPr>
  </w:style>
  <w:style w:type="paragraph" w:customStyle="1" w:styleId="159">
    <w:name w:val="小点说明"/>
    <w:basedOn w:val="1"/>
    <w:qFormat/>
    <w:uiPriority w:val="0"/>
    <w:pPr>
      <w:spacing w:line="260" w:lineRule="exact"/>
      <w:jc w:val="center"/>
    </w:pPr>
    <w:rPr>
      <w:rFonts w:ascii="宋体" w:hAnsi="宋体"/>
    </w:rPr>
  </w:style>
  <w:style w:type="paragraph" w:customStyle="1" w:styleId="160">
    <w:name w:val="样式"/>
    <w:basedOn w:val="1"/>
    <w:next w:val="32"/>
    <w:qFormat/>
    <w:uiPriority w:val="0"/>
    <w:rPr>
      <w:rFonts w:ascii="宋体" w:hAnsi="Courier New"/>
      <w:szCs w:val="21"/>
    </w:rPr>
  </w:style>
  <w:style w:type="paragraph" w:customStyle="1" w:styleId="161">
    <w:name w:val="批注框文本1"/>
    <w:basedOn w:val="1"/>
    <w:qFormat/>
    <w:uiPriority w:val="0"/>
    <w:rPr>
      <w:sz w:val="18"/>
      <w:szCs w:val="18"/>
    </w:rPr>
  </w:style>
  <w:style w:type="paragraph" w:customStyle="1" w:styleId="162">
    <w:name w:val="正文 + 宋体 + 行距: 固定值 24 磅"/>
    <w:basedOn w:val="5"/>
    <w:qFormat/>
    <w:uiPriority w:val="0"/>
    <w:pPr>
      <w:keepNext w:val="0"/>
      <w:keepLines w:val="0"/>
      <w:numPr>
        <w:ilvl w:val="1"/>
        <w:numId w:val="5"/>
      </w:numPr>
      <w:spacing w:before="0" w:after="0" w:line="480" w:lineRule="exact"/>
    </w:pPr>
    <w:rPr>
      <w:rFonts w:ascii="宋体"/>
      <w:b w:val="0"/>
      <w:kern w:val="0"/>
      <w:sz w:val="21"/>
    </w:rPr>
  </w:style>
  <w:style w:type="paragraph" w:customStyle="1" w:styleId="163">
    <w:name w:val="项符&gt;"/>
    <w:basedOn w:val="1"/>
    <w:qFormat/>
    <w:uiPriority w:val="0"/>
    <w:pPr>
      <w:spacing w:line="360" w:lineRule="auto"/>
    </w:pPr>
    <w:rPr>
      <w:rFonts w:ascii="宋体" w:hAnsi="宋体"/>
      <w:sz w:val="24"/>
      <w:szCs w:val="30"/>
    </w:rPr>
  </w:style>
  <w:style w:type="paragraph" w:customStyle="1" w:styleId="164">
    <w:name w:val="Char Char1 Char Char Char Char Char Char Char Char Char Char"/>
    <w:basedOn w:val="1"/>
    <w:qFormat/>
    <w:uiPriority w:val="0"/>
    <w:rPr>
      <w:rFonts w:ascii="Tahoma" w:hAnsi="Tahoma"/>
      <w:sz w:val="24"/>
    </w:rPr>
  </w:style>
  <w:style w:type="paragraph" w:customStyle="1" w:styleId="165">
    <w:name w:val="Char Char1 Char Char Char Char Char Char Char Char Char Char1"/>
    <w:basedOn w:val="1"/>
    <w:qFormat/>
    <w:uiPriority w:val="0"/>
    <w:rPr>
      <w:rFonts w:ascii="Tahoma" w:hAnsi="Tahoma"/>
      <w:sz w:val="24"/>
    </w:rPr>
  </w:style>
  <w:style w:type="paragraph" w:customStyle="1" w:styleId="166">
    <w:name w:val="Char Char Char Char"/>
    <w:basedOn w:val="1"/>
    <w:qFormat/>
    <w:uiPriority w:val="0"/>
    <w:rPr>
      <w:rFonts w:ascii="Tahoma" w:hAnsi="Tahoma"/>
      <w:sz w:val="24"/>
    </w:rPr>
  </w:style>
  <w:style w:type="character" w:customStyle="1" w:styleId="167">
    <w:name w:val="style1031"/>
    <w:qFormat/>
    <w:uiPriority w:val="0"/>
    <w:rPr>
      <w:rFonts w:hint="default" w:ascii="Arial" w:hAnsi="Arial" w:cs="Arial"/>
    </w:rPr>
  </w:style>
  <w:style w:type="paragraph" w:customStyle="1" w:styleId="168">
    <w:name w:val="剑鱼一"/>
    <w:basedOn w:val="1"/>
    <w:next w:val="1"/>
    <w:qFormat/>
    <w:uiPriority w:val="0"/>
    <w:pPr>
      <w:outlineLvl w:val="0"/>
    </w:pPr>
    <w:rPr>
      <w:rFonts w:ascii="Arial" w:hAnsi="Arial"/>
      <w:b/>
      <w:sz w:val="28"/>
      <w:szCs w:val="28"/>
    </w:rPr>
  </w:style>
  <w:style w:type="paragraph" w:customStyle="1" w:styleId="169">
    <w:name w:val="剑鱼二"/>
    <w:basedOn w:val="1"/>
    <w:next w:val="19"/>
    <w:qFormat/>
    <w:uiPriority w:val="0"/>
    <w:pPr>
      <w:spacing w:line="360" w:lineRule="auto"/>
      <w:outlineLvl w:val="1"/>
    </w:pPr>
    <w:rPr>
      <w:rFonts w:ascii="Arial" w:hAnsi="Arial"/>
      <w:b/>
      <w:sz w:val="24"/>
      <w:szCs w:val="24"/>
    </w:rPr>
  </w:style>
  <w:style w:type="paragraph" w:customStyle="1" w:styleId="170">
    <w:name w:val="剑鱼三"/>
    <w:basedOn w:val="1"/>
    <w:next w:val="1"/>
    <w:qFormat/>
    <w:uiPriority w:val="0"/>
    <w:pPr>
      <w:spacing w:line="360" w:lineRule="auto"/>
      <w:outlineLvl w:val="2"/>
    </w:pPr>
    <w:rPr>
      <w:rFonts w:ascii="Arial" w:hAnsi="Arial"/>
      <w:b/>
      <w:szCs w:val="21"/>
    </w:rPr>
  </w:style>
  <w:style w:type="character" w:customStyle="1" w:styleId="171">
    <w:name w:val="阴影"/>
    <w:qFormat/>
    <w:uiPriority w:val="0"/>
    <w:rPr>
      <w:color w:val="0000FF"/>
      <w:shd w:val="pct10" w:color="auto" w:fill="auto"/>
    </w:rPr>
  </w:style>
  <w:style w:type="paragraph" w:customStyle="1" w:styleId="172">
    <w:name w:val="啄木鸟"/>
    <w:basedOn w:val="1"/>
    <w:qFormat/>
    <w:uiPriority w:val="0"/>
    <w:pPr>
      <w:spacing w:line="360" w:lineRule="auto"/>
      <w:jc w:val="center"/>
    </w:pPr>
    <w:rPr>
      <w:rFonts w:ascii="Arial" w:hAnsi="Arial"/>
      <w:color w:val="0000FF"/>
      <w:szCs w:val="21"/>
    </w:rPr>
  </w:style>
  <w:style w:type="paragraph" w:customStyle="1" w:styleId="173">
    <w:name w:val="BH-01"/>
    <w:basedOn w:val="1"/>
    <w:next w:val="1"/>
    <w:qFormat/>
    <w:uiPriority w:val="0"/>
    <w:pPr>
      <w:spacing w:line="360" w:lineRule="auto"/>
      <w:outlineLvl w:val="0"/>
    </w:pPr>
    <w:rPr>
      <w:rFonts w:ascii="Arial" w:hAnsi="Arial"/>
      <w:b/>
      <w:sz w:val="28"/>
      <w:szCs w:val="28"/>
    </w:rPr>
  </w:style>
  <w:style w:type="paragraph" w:customStyle="1" w:styleId="174">
    <w:name w:val="BH-02"/>
    <w:basedOn w:val="1"/>
    <w:next w:val="1"/>
    <w:qFormat/>
    <w:uiPriority w:val="0"/>
    <w:pPr>
      <w:spacing w:line="360" w:lineRule="auto"/>
      <w:outlineLvl w:val="1"/>
    </w:pPr>
    <w:rPr>
      <w:rFonts w:ascii="Arial" w:hAnsi="Arial"/>
      <w:b/>
      <w:sz w:val="24"/>
      <w:szCs w:val="24"/>
    </w:rPr>
  </w:style>
  <w:style w:type="paragraph" w:customStyle="1" w:styleId="175">
    <w:name w:val="BH-03"/>
    <w:basedOn w:val="1"/>
    <w:next w:val="1"/>
    <w:qFormat/>
    <w:uiPriority w:val="0"/>
    <w:pPr>
      <w:spacing w:line="360" w:lineRule="auto"/>
      <w:outlineLvl w:val="2"/>
    </w:pPr>
    <w:rPr>
      <w:rFonts w:ascii="Arial" w:hAnsi="Arial"/>
      <w:b/>
      <w:szCs w:val="21"/>
    </w:rPr>
  </w:style>
  <w:style w:type="character" w:customStyle="1" w:styleId="176">
    <w:name w:val="BH-01 Char"/>
    <w:qFormat/>
    <w:uiPriority w:val="0"/>
    <w:rPr>
      <w:rFonts w:ascii="Arial" w:hAnsi="Arial" w:eastAsia="宋体"/>
      <w:b/>
      <w:kern w:val="2"/>
      <w:sz w:val="28"/>
      <w:szCs w:val="28"/>
      <w:lang w:val="en-US" w:eastAsia="zh-CN" w:bidi="ar-SA"/>
    </w:rPr>
  </w:style>
  <w:style w:type="character" w:customStyle="1" w:styleId="177">
    <w:name w:val="啄木鸟 Char Char"/>
    <w:qFormat/>
    <w:uiPriority w:val="0"/>
    <w:rPr>
      <w:rFonts w:ascii="Arial" w:hAnsi="Arial" w:eastAsia="宋体"/>
      <w:color w:val="0000FF"/>
      <w:kern w:val="2"/>
      <w:sz w:val="21"/>
      <w:szCs w:val="21"/>
      <w:lang w:val="en-US" w:eastAsia="zh-CN" w:bidi="ar-SA"/>
    </w:rPr>
  </w:style>
  <w:style w:type="paragraph" w:customStyle="1" w:styleId="178">
    <w:name w:val="自定义一"/>
    <w:basedOn w:val="1"/>
    <w:next w:val="1"/>
    <w:qFormat/>
    <w:uiPriority w:val="0"/>
    <w:pPr>
      <w:tabs>
        <w:tab w:val="left" w:pos="2880"/>
      </w:tabs>
      <w:spacing w:line="360" w:lineRule="auto"/>
      <w:outlineLvl w:val="0"/>
    </w:pPr>
    <w:rPr>
      <w:rFonts w:ascii="Arial" w:hAnsi="Arial"/>
      <w:b/>
      <w:sz w:val="28"/>
      <w:szCs w:val="30"/>
    </w:rPr>
  </w:style>
  <w:style w:type="paragraph" w:customStyle="1" w:styleId="179">
    <w:name w:val="自定义二"/>
    <w:basedOn w:val="1"/>
    <w:next w:val="1"/>
    <w:qFormat/>
    <w:uiPriority w:val="0"/>
    <w:pPr>
      <w:tabs>
        <w:tab w:val="left" w:pos="2880"/>
      </w:tabs>
      <w:spacing w:line="360" w:lineRule="auto"/>
      <w:outlineLvl w:val="1"/>
    </w:pPr>
    <w:rPr>
      <w:rFonts w:ascii="Arial" w:hAnsi="Arial"/>
      <w:b/>
      <w:sz w:val="24"/>
      <w:szCs w:val="21"/>
    </w:rPr>
  </w:style>
  <w:style w:type="paragraph" w:customStyle="1" w:styleId="180">
    <w:name w:val="自定义三"/>
    <w:basedOn w:val="1"/>
    <w:next w:val="1"/>
    <w:qFormat/>
    <w:uiPriority w:val="0"/>
    <w:pPr>
      <w:tabs>
        <w:tab w:val="left" w:pos="2880"/>
      </w:tabs>
      <w:spacing w:line="360" w:lineRule="auto"/>
      <w:outlineLvl w:val="2"/>
    </w:pPr>
    <w:rPr>
      <w:rFonts w:ascii="Arial" w:hAnsi="Arial"/>
      <w:b/>
      <w:szCs w:val="21"/>
    </w:rPr>
  </w:style>
  <w:style w:type="character" w:customStyle="1" w:styleId="181">
    <w:name w:val="自定义三 Char"/>
    <w:qFormat/>
    <w:uiPriority w:val="0"/>
    <w:rPr>
      <w:rFonts w:ascii="Arial" w:hAnsi="Arial" w:eastAsia="宋体"/>
      <w:b/>
      <w:kern w:val="2"/>
      <w:sz w:val="21"/>
      <w:szCs w:val="21"/>
      <w:lang w:val="en-US" w:eastAsia="zh-CN" w:bidi="ar-SA"/>
    </w:rPr>
  </w:style>
  <w:style w:type="paragraph" w:customStyle="1" w:styleId="182">
    <w:name w:val="Item Step in Table"/>
    <w:qFormat/>
    <w:uiPriority w:val="0"/>
    <w:pPr>
      <w:numPr>
        <w:ilvl w:val="0"/>
        <w:numId w:val="6"/>
      </w:numPr>
      <w:spacing w:before="40" w:after="40"/>
      <w:jc w:val="both"/>
    </w:pPr>
    <w:rPr>
      <w:rFonts w:ascii="Arial" w:hAnsi="Arial" w:eastAsia="宋体" w:cs="Arial"/>
      <w:sz w:val="18"/>
      <w:szCs w:val="18"/>
      <w:lang w:val="en-US" w:eastAsia="zh-CN" w:bidi="ar-SA"/>
    </w:rPr>
  </w:style>
  <w:style w:type="paragraph" w:customStyle="1" w:styleId="183">
    <w:name w:val="Char1 Char Char Char Char Char Char"/>
    <w:basedOn w:val="1"/>
    <w:qFormat/>
    <w:uiPriority w:val="0"/>
    <w:rPr>
      <w:rFonts w:ascii="Tahoma" w:hAnsi="Tahoma"/>
      <w:sz w:val="24"/>
    </w:rPr>
  </w:style>
  <w:style w:type="paragraph" w:customStyle="1" w:styleId="184">
    <w:name w:val="Char1 Char Char Char Char Char Char Char Char Char Char Char Char Char Char Char"/>
    <w:basedOn w:val="1"/>
    <w:qFormat/>
    <w:uiPriority w:val="0"/>
    <w:pPr>
      <w:adjustRightInd w:val="0"/>
      <w:spacing w:line="360" w:lineRule="auto"/>
    </w:pPr>
    <w:rPr>
      <w:kern w:val="0"/>
      <w:sz w:val="24"/>
    </w:rPr>
  </w:style>
  <w:style w:type="paragraph" w:customStyle="1" w:styleId="185">
    <w:name w:val="6"/>
    <w:basedOn w:val="1"/>
    <w:qFormat/>
    <w:uiPriority w:val="0"/>
  </w:style>
  <w:style w:type="paragraph" w:customStyle="1" w:styleId="186">
    <w:name w:val="标准文本"/>
    <w:basedOn w:val="1"/>
    <w:link w:val="187"/>
    <w:qFormat/>
    <w:uiPriority w:val="0"/>
    <w:pPr>
      <w:spacing w:line="360" w:lineRule="auto"/>
      <w:ind w:firstLine="480" w:firstLineChars="200"/>
    </w:pPr>
    <w:rPr>
      <w:sz w:val="24"/>
    </w:rPr>
  </w:style>
  <w:style w:type="character" w:customStyle="1" w:styleId="187">
    <w:name w:val="标准文本 Char"/>
    <w:link w:val="186"/>
    <w:qFormat/>
    <w:uiPriority w:val="0"/>
    <w:rPr>
      <w:rFonts w:cs="宋体"/>
      <w:kern w:val="2"/>
      <w:sz w:val="24"/>
    </w:rPr>
  </w:style>
  <w:style w:type="paragraph" w:customStyle="1" w:styleId="188">
    <w:name w:val="YZ首缩2.0"/>
    <w:basedOn w:val="1"/>
    <w:link w:val="189"/>
    <w:qFormat/>
    <w:uiPriority w:val="0"/>
    <w:pPr>
      <w:spacing w:line="360" w:lineRule="auto"/>
      <w:ind w:firstLine="480"/>
      <w:jc w:val="left"/>
    </w:pPr>
    <w:rPr>
      <w:sz w:val="24"/>
    </w:rPr>
  </w:style>
  <w:style w:type="character" w:customStyle="1" w:styleId="189">
    <w:name w:val="YZ首缩2.0 Char"/>
    <w:link w:val="188"/>
    <w:qFormat/>
    <w:uiPriority w:val="0"/>
    <w:rPr>
      <w:rFonts w:cs="宋体"/>
      <w:kern w:val="2"/>
      <w:sz w:val="24"/>
    </w:rPr>
  </w:style>
  <w:style w:type="paragraph" w:customStyle="1" w:styleId="190">
    <w:name w:val="样式1 Char Char"/>
    <w:basedOn w:val="1"/>
    <w:next w:val="1"/>
    <w:link w:val="191"/>
    <w:qFormat/>
    <w:uiPriority w:val="99"/>
    <w:pPr>
      <w:spacing w:line="360" w:lineRule="auto"/>
      <w:ind w:firstLine="516" w:firstLineChars="215"/>
    </w:pPr>
    <w:rPr>
      <w:sz w:val="24"/>
    </w:rPr>
  </w:style>
  <w:style w:type="character" w:customStyle="1" w:styleId="191">
    <w:name w:val="样式1 Char Char Char"/>
    <w:link w:val="190"/>
    <w:qFormat/>
    <w:locked/>
    <w:uiPriority w:val="99"/>
    <w:rPr>
      <w:kern w:val="2"/>
      <w:sz w:val="24"/>
    </w:rPr>
  </w:style>
  <w:style w:type="character" w:customStyle="1" w:styleId="192">
    <w:name w:val="标题 2 字符"/>
    <w:link w:val="3"/>
    <w:qFormat/>
    <w:uiPriority w:val="0"/>
    <w:rPr>
      <w:rFonts w:ascii="Arial" w:hAnsi="Arial" w:eastAsia="黑体"/>
      <w:b/>
      <w:kern w:val="2"/>
      <w:sz w:val="24"/>
    </w:rPr>
  </w:style>
  <w:style w:type="paragraph" w:customStyle="1" w:styleId="193">
    <w:name w:val="列出段落1"/>
    <w:basedOn w:val="1"/>
    <w:qFormat/>
    <w:uiPriority w:val="0"/>
    <w:pPr>
      <w:ind w:firstLine="420" w:firstLineChars="200"/>
    </w:pPr>
    <w:rPr>
      <w:szCs w:val="24"/>
    </w:rPr>
  </w:style>
  <w:style w:type="paragraph" w:customStyle="1" w:styleId="19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5">
    <w:name w:val="Revision"/>
    <w:hidden/>
    <w:semiHidden/>
    <w:qFormat/>
    <w:uiPriority w:val="99"/>
    <w:rPr>
      <w:rFonts w:ascii="Times New Roman" w:hAnsi="Times New Roman" w:eastAsia="宋体" w:cs="Times New Roman"/>
      <w:kern w:val="2"/>
      <w:sz w:val="21"/>
      <w:lang w:val="en-US" w:eastAsia="zh-CN" w:bidi="ar-SA"/>
    </w:rPr>
  </w:style>
  <w:style w:type="character" w:customStyle="1" w:styleId="196">
    <w:name w:val="批注文字 字符"/>
    <w:link w:val="20"/>
    <w:semiHidden/>
    <w:qFormat/>
    <w:uiPriority w:val="0"/>
    <w:rPr>
      <w:kern w:val="2"/>
      <w:sz w:val="21"/>
      <w:szCs w:val="24"/>
    </w:rPr>
  </w:style>
  <w:style w:type="character" w:customStyle="1" w:styleId="197">
    <w:name w:val="批注主题 字符"/>
    <w:link w:val="53"/>
    <w:qFormat/>
    <w:uiPriority w:val="0"/>
    <w:rPr>
      <w:b/>
      <w:bCs/>
      <w:kern w:val="2"/>
      <w:sz w:val="21"/>
      <w:szCs w:val="24"/>
    </w:rPr>
  </w:style>
  <w:style w:type="character" w:customStyle="1" w:styleId="198">
    <w:name w:val="文档结构图 字符"/>
    <w:basedOn w:val="58"/>
    <w:link w:val="18"/>
    <w:qFormat/>
    <w:uiPriority w:val="0"/>
    <w:rPr>
      <w:rFonts w:ascii="宋体"/>
      <w:kern w:val="2"/>
      <w:sz w:val="18"/>
      <w:szCs w:val="18"/>
    </w:rPr>
  </w:style>
  <w:style w:type="character" w:customStyle="1" w:styleId="199">
    <w:name w:val="标题 1 字符"/>
    <w:basedOn w:val="58"/>
    <w:link w:val="2"/>
    <w:qFormat/>
    <w:uiPriority w:val="0"/>
    <w:rPr>
      <w:b/>
      <w:kern w:val="44"/>
      <w:sz w:val="44"/>
    </w:rPr>
  </w:style>
  <w:style w:type="character" w:customStyle="1" w:styleId="200">
    <w:name w:val="纯文本 字符"/>
    <w:basedOn w:val="58"/>
    <w:link w:val="32"/>
    <w:qFormat/>
    <w:uiPriority w:val="0"/>
    <w:rPr>
      <w:rFonts w:ascii="宋体" w:hAnsi="Courier New"/>
      <w:kern w:val="2"/>
      <w:sz w:val="21"/>
    </w:rPr>
  </w:style>
  <w:style w:type="character" w:customStyle="1" w:styleId="201">
    <w:name w:val="正文文本缩进 字符"/>
    <w:basedOn w:val="58"/>
    <w:link w:val="25"/>
    <w:qFormat/>
    <w:uiPriority w:val="0"/>
    <w:rPr>
      <w:kern w:val="2"/>
      <w:sz w:val="21"/>
    </w:rPr>
  </w:style>
  <w:style w:type="table" w:customStyle="1" w:styleId="202">
    <w:name w:val="网格型浅色1"/>
    <w:basedOn w:val="5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03">
    <w:name w:val="纯文本 字符1"/>
    <w:basedOn w:val="58"/>
    <w:qFormat/>
    <w:uiPriority w:val="0"/>
    <w:rPr>
      <w:rFonts w:ascii="宋体" w:hAnsi="Times New Roman" w:eastAsia="宋体" w:cs="Courier New"/>
      <w:szCs w:val="21"/>
    </w:rPr>
  </w:style>
  <w:style w:type="paragraph" w:customStyle="1" w:styleId="204">
    <w:name w:val="_Style 2"/>
    <w:basedOn w:val="1"/>
    <w:qFormat/>
    <w:uiPriority w:val="99"/>
    <w:pPr>
      <w:ind w:firstLine="420" w:firstLineChars="200"/>
    </w:pPr>
    <w:rPr>
      <w:szCs w:val="20"/>
    </w:rPr>
  </w:style>
  <w:style w:type="table" w:customStyle="1" w:styleId="205">
    <w:name w:val="Grid Table Light"/>
    <w:basedOn w:val="5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CF390-59C4-4003-AB56-E678BE00AEBB}">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19</Pages>
  <Words>6082</Words>
  <Characters>6957</Characters>
  <Lines>204</Lines>
  <Paragraphs>57</Paragraphs>
  <TotalTime>26</TotalTime>
  <ScaleCrop>false</ScaleCrop>
  <LinksUpToDate>false</LinksUpToDate>
  <CharactersWithSpaces>7429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2022-01-23T10:16:00Z</dcterms:created>
  <dc:creator>Administrator</dc:creator>
  <cp:lastModifiedBy>+Ki</cp:lastModifiedBy>
  <cp:lastPrinted>2022-04-04T09:10:16Z</cp:lastPrinted>
  <dcterms:modified xsi:type="dcterms:W3CDTF">2022-04-04T09:18:37Z</dcterms:modified>
  <dc:title>中    山    大    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643193A5C2B24E88A7CD36A2D8333053</vt:lpwstr>
  </property>
</Properties>
</file>