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宋体" w:hAnsi="宋体"/>
          <w:b/>
          <w:bCs/>
          <w:color w:val="000000" w:themeColor="text1"/>
          <w:spacing w:val="20"/>
          <w:kern w:val="10"/>
          <w:sz w:val="44"/>
          <w:szCs w:val="44"/>
          <w14:textFill>
            <w14:solidFill>
              <w14:schemeClr w14:val="tx1"/>
            </w14:solidFill>
          </w14:textFill>
        </w:rPr>
      </w:pPr>
      <w:r>
        <w:rPr>
          <w:rFonts w:hint="eastAsia" w:ascii="宋体" w:hAnsi="宋体"/>
          <w:b/>
          <w:bCs/>
          <w:color w:val="000000" w:themeColor="text1"/>
          <w:spacing w:val="20"/>
          <w:kern w:val="10"/>
          <w:sz w:val="44"/>
          <w:szCs w:val="44"/>
          <w14:textFill>
            <w14:solidFill>
              <w14:schemeClr w14:val="tx1"/>
            </w14:solidFill>
          </w14:textFill>
        </w:rPr>
        <w:t>广州南方学院202</w:t>
      </w:r>
      <w:r>
        <w:rPr>
          <w:rFonts w:ascii="宋体" w:hAnsi="宋体"/>
          <w:b/>
          <w:bCs/>
          <w:color w:val="000000" w:themeColor="text1"/>
          <w:spacing w:val="20"/>
          <w:kern w:val="10"/>
          <w:sz w:val="44"/>
          <w:szCs w:val="44"/>
          <w14:textFill>
            <w14:solidFill>
              <w14:schemeClr w14:val="tx1"/>
            </w14:solidFill>
          </w14:textFill>
        </w:rPr>
        <w:t>3</w:t>
      </w:r>
      <w:r>
        <w:rPr>
          <w:rFonts w:hint="eastAsia" w:ascii="宋体" w:hAnsi="宋体"/>
          <w:b/>
          <w:bCs/>
          <w:color w:val="000000" w:themeColor="text1"/>
          <w:spacing w:val="20"/>
          <w:kern w:val="10"/>
          <w:sz w:val="44"/>
          <w:szCs w:val="44"/>
          <w14:textFill>
            <w14:solidFill>
              <w14:schemeClr w14:val="tx1"/>
            </w14:solidFill>
          </w14:textFill>
        </w:rPr>
        <w:t>年中央空调维护保养及维修需求书</w:t>
      </w:r>
    </w:p>
    <w:p>
      <w:pPr>
        <w:adjustRightInd w:val="0"/>
        <w:snapToGrid w:val="0"/>
        <w:spacing w:line="500" w:lineRule="exact"/>
        <w:ind w:firstLine="562" w:firstLineChars="200"/>
        <w:rPr>
          <w:rFonts w:ascii="宋体" w:hAnsi="宋体" w:cs="宋体"/>
          <w:b/>
          <w:bCs/>
          <w:color w:val="000000" w:themeColor="text1"/>
          <w:kern w:val="0"/>
          <w:sz w:val="28"/>
          <w:szCs w:val="28"/>
          <w14:textFill>
            <w14:solidFill>
              <w14:schemeClr w14:val="tx1"/>
            </w14:solidFill>
          </w14:textFill>
        </w:rPr>
      </w:pPr>
    </w:p>
    <w:p>
      <w:pPr>
        <w:adjustRightInd w:val="0"/>
        <w:snapToGrid w:val="0"/>
        <w:spacing w:line="440" w:lineRule="exact"/>
        <w:ind w:firstLine="562" w:firstLineChars="200"/>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一、项目概况</w:t>
      </w:r>
    </w:p>
    <w:p>
      <w:pPr>
        <w:adjustRightInd w:val="0"/>
        <w:snapToGrid w:val="0"/>
        <w:spacing w:line="44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1.维保范围：本项目是对广州南方学院校内综合楼大礼堂、校史馆、专家楼</w:t>
      </w:r>
      <w:r>
        <w:rPr>
          <w:rFonts w:hint="eastAsia" w:ascii="宋体" w:hAnsi="宋体" w:cs="宋体"/>
          <w:color w:val="000000" w:themeColor="text1"/>
          <w:sz w:val="28"/>
          <w:szCs w:val="28"/>
          <w:highlight w:val="none"/>
          <w:lang w:val="en-US" w:eastAsia="zh-CN"/>
          <w14:textFill>
            <w14:solidFill>
              <w14:schemeClr w14:val="tx1"/>
            </w14:solidFill>
          </w14:textFill>
        </w:rPr>
        <w:t>、音乐楼和图书馆等</w:t>
      </w:r>
      <w:r>
        <w:rPr>
          <w:rFonts w:hint="eastAsia" w:ascii="宋体" w:hAnsi="宋体" w:cs="宋体"/>
          <w:color w:val="000000" w:themeColor="text1"/>
          <w:sz w:val="28"/>
          <w:szCs w:val="28"/>
          <w:highlight w:val="none"/>
          <w14:textFill>
            <w14:solidFill>
              <w14:schemeClr w14:val="tx1"/>
            </w14:solidFill>
          </w14:textFill>
        </w:rPr>
        <w:t>地点</w:t>
      </w:r>
      <w:r>
        <w:rPr>
          <w:rFonts w:hint="eastAsia" w:ascii="宋体" w:hAnsi="宋体" w:cs="宋体"/>
          <w:color w:val="000000" w:themeColor="text1"/>
          <w:sz w:val="28"/>
          <w:szCs w:val="28"/>
          <w:highlight w:val="none"/>
          <w:lang w:val="en-US" w:eastAsia="zh-CN"/>
          <w14:textFill>
            <w14:solidFill>
              <w14:schemeClr w14:val="tx1"/>
            </w14:solidFill>
          </w14:textFill>
        </w:rPr>
        <w:t>的</w:t>
      </w:r>
      <w:r>
        <w:rPr>
          <w:rFonts w:hint="eastAsia" w:ascii="宋体" w:hAnsi="宋体" w:cs="宋体"/>
          <w:color w:val="000000" w:themeColor="text1"/>
          <w:sz w:val="28"/>
          <w:szCs w:val="28"/>
          <w:highlight w:val="none"/>
          <w14:textFill>
            <w14:solidFill>
              <w14:schemeClr w14:val="tx1"/>
            </w14:solidFill>
          </w14:textFill>
        </w:rPr>
        <w:t>各种品牌、型号的中央空调维护保养及维修提供服务（空调设备清单见下文）。</w:t>
      </w:r>
    </w:p>
    <w:p>
      <w:pPr>
        <w:snapToGrid w:val="0"/>
        <w:spacing w:line="44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2.维保服务内容：校内中央空调的定期检查、维护、保养及故障维修。投标人须对本项目进行整体响应，任何只对其中一部分内容进行的响应都被视为无效响应，均视为无效投标。</w:t>
      </w:r>
    </w:p>
    <w:p>
      <w:pPr>
        <w:snapToGrid w:val="0"/>
        <w:spacing w:line="44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3.项目预算限价：投标最高限价人民币</w:t>
      </w:r>
      <w:r>
        <w:rPr>
          <w:rFonts w:hint="eastAsia" w:ascii="宋体" w:hAnsi="宋体" w:cs="宋体"/>
          <w:bCs/>
          <w:color w:val="000000" w:themeColor="text1"/>
          <w:sz w:val="28"/>
          <w:szCs w:val="28"/>
          <w:highlight w:val="none"/>
          <w:lang w:val="en-US" w:eastAsia="zh-CN"/>
          <w14:textFill>
            <w14:solidFill>
              <w14:schemeClr w14:val="tx1"/>
            </w14:solidFill>
          </w14:textFill>
        </w:rPr>
        <w:t>***</w:t>
      </w:r>
      <w:bookmarkStart w:id="2" w:name="_GoBack"/>
      <w:bookmarkEnd w:id="2"/>
      <w:r>
        <w:rPr>
          <w:rFonts w:hint="eastAsia" w:ascii="宋体" w:hAnsi="宋体" w:cs="宋体"/>
          <w:color w:val="000000" w:themeColor="text1"/>
          <w:sz w:val="28"/>
          <w:szCs w:val="28"/>
          <w:highlight w:val="none"/>
          <w14:textFill>
            <w14:solidFill>
              <w14:schemeClr w14:val="tx1"/>
            </w14:solidFill>
          </w14:textFill>
        </w:rPr>
        <w:t>元，投标报价超出项目预算限价或者明显低于成本价的，均视为无效投标。</w:t>
      </w:r>
    </w:p>
    <w:p>
      <w:pPr>
        <w:snapToGrid w:val="0"/>
        <w:spacing w:line="440" w:lineRule="exact"/>
        <w:ind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4.维保合同期：</w:t>
      </w:r>
      <w:r>
        <w:rPr>
          <w:rFonts w:hint="eastAsia" w:ascii="宋体" w:hAnsi="宋体" w:cs="宋体"/>
          <w:color w:val="000000" w:themeColor="text1"/>
          <w:sz w:val="28"/>
          <w:szCs w:val="28"/>
          <w:highlight w:val="none"/>
          <w:lang w:val="en-US" w:eastAsia="zh-CN"/>
          <w14:textFill>
            <w14:solidFill>
              <w14:schemeClr w14:val="tx1"/>
            </w14:solidFill>
          </w14:textFill>
        </w:rPr>
        <w:t>2023年7月1日至2023年12月31日</w:t>
      </w:r>
    </w:p>
    <w:p>
      <w:pPr>
        <w:snapToGrid w:val="0"/>
        <w:spacing w:line="440" w:lineRule="exact"/>
        <w:ind w:firstLine="562"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二、供应商资质条件</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1.投标人须具有独立承担民事责任能力的在中华人民共和国境内注册的法人，须提供企业法人营业执照、组织机构代码证、税务登记证等相关证明文件。</w:t>
      </w:r>
    </w:p>
    <w:p>
      <w:pPr>
        <w:snapToGrid w:val="0"/>
        <w:spacing w:line="44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2.投标人必须是专业从事中央空调维修类单位，经营范围应具有机电设备安装工程专业承包叁级以上，中国制冷空调设备维修安装企业A类资质。</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应未被列入“信用中国”网站(www.creditchina.gov.cn)“失信被执行人或重大税收违法案件当事人名单或政府采购严重违法失信行为”记录名单；未处于中国政府采购网(www.ccgp.gov.cn)“政府采购严重违法失信行为信息记录”中的禁止参加政府采购活动期间（需提供截图加盖公章）；</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4.投标人须提供至少一份201</w:t>
      </w:r>
      <w:r>
        <w:rPr>
          <w:rFonts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-202</w:t>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年同类项目业绩（提供合同、履约证明等证明文件，加盖公章）。</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5.投标人需提供拟实施本项目中央空调维保人员的相关资格证复印件（加盖公章）；</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6.具备《中华人民共和国政府采购法》第二十二条规定的条件；</w:t>
      </w:r>
    </w:p>
    <w:p>
      <w:pPr>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7.本项目不接受联合体投标。</w:t>
      </w:r>
    </w:p>
    <w:p>
      <w:pPr>
        <w:adjustRightInd w:val="0"/>
        <w:snapToGrid w:val="0"/>
        <w:spacing w:line="440" w:lineRule="exact"/>
        <w:ind w:firstLine="562" w:firstLineChars="200"/>
        <w:outlineLvl w:val="1"/>
        <w:rPr>
          <w:rFonts w:ascii="宋体" w:hAnsi="宋体" w:cs="宋体"/>
          <w:b/>
          <w:bCs/>
          <w:color w:val="000000" w:themeColor="text1"/>
          <w:kern w:val="0"/>
          <w:sz w:val="28"/>
          <w:szCs w:val="28"/>
          <w14:textFill>
            <w14:solidFill>
              <w14:schemeClr w14:val="tx1"/>
            </w14:solidFill>
          </w14:textFill>
        </w:rPr>
      </w:pPr>
      <w:bookmarkStart w:id="0" w:name="_Toc468802650"/>
      <w:bookmarkStart w:id="1" w:name="_Toc468802752"/>
      <w:r>
        <w:rPr>
          <w:rFonts w:hint="eastAsia" w:ascii="宋体" w:hAnsi="宋体" w:cs="宋体"/>
          <w:b/>
          <w:bCs/>
          <w:color w:val="000000" w:themeColor="text1"/>
          <w:kern w:val="0"/>
          <w:sz w:val="28"/>
          <w:szCs w:val="28"/>
          <w14:textFill>
            <w14:solidFill>
              <w14:schemeClr w14:val="tx1"/>
            </w14:solidFill>
          </w14:textFill>
        </w:rPr>
        <w:t>三、本项目中央空调设备清单</w:t>
      </w:r>
    </w:p>
    <w:p>
      <w:pPr>
        <w:snapToGrid w:val="0"/>
        <w:spacing w:line="440" w:lineRule="exact"/>
        <w:ind w:firstLine="562" w:firstLineChars="200"/>
        <w:jc w:val="left"/>
        <w:rPr>
          <w:rFonts w:ascii="宋体" w:hAnsi="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14:textFill>
            <w14:solidFill>
              <w14:schemeClr w14:val="tx1"/>
            </w14:solidFill>
          </w14:textFill>
        </w:rPr>
        <w:t>多联式中央空调：</w:t>
      </w:r>
    </w:p>
    <w:tbl>
      <w:tblPr>
        <w:tblStyle w:val="6"/>
        <w:tblpPr w:leftFromText="180" w:rightFromText="180" w:vertAnchor="text" w:horzAnchor="page" w:tblpX="1555" w:tblpY="135"/>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1485"/>
        <w:gridCol w:w="1905"/>
        <w:gridCol w:w="177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地点</w:t>
            </w:r>
          </w:p>
        </w:tc>
        <w:tc>
          <w:tcPr>
            <w:tcW w:w="1485"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品牌</w:t>
            </w:r>
          </w:p>
        </w:tc>
        <w:tc>
          <w:tcPr>
            <w:tcW w:w="1905"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外机数量（台）</w:t>
            </w:r>
          </w:p>
        </w:tc>
        <w:tc>
          <w:tcPr>
            <w:tcW w:w="1770"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内机数量（台）</w:t>
            </w:r>
          </w:p>
        </w:tc>
        <w:tc>
          <w:tcPr>
            <w:tcW w:w="1935"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投入使用年份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snapToGrid w:val="0"/>
              <w:spacing w:line="44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综合楼</w:t>
            </w:r>
            <w:r>
              <w:rPr>
                <w:rFonts w:hint="eastAsia" w:ascii="宋体" w:hAnsi="宋体" w:cs="宋体"/>
                <w:color w:val="000000" w:themeColor="text1"/>
                <w:szCs w:val="21"/>
                <w:highlight w:val="none"/>
                <w:lang w:val="en-US" w:eastAsia="zh-CN"/>
                <w14:textFill>
                  <w14:solidFill>
                    <w14:schemeClr w14:val="tx1"/>
                  </w14:solidFill>
                </w14:textFill>
              </w:rPr>
              <w:t>会议室</w:t>
            </w:r>
          </w:p>
        </w:tc>
        <w:tc>
          <w:tcPr>
            <w:tcW w:w="148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海尔</w:t>
            </w:r>
          </w:p>
        </w:tc>
        <w:tc>
          <w:tcPr>
            <w:tcW w:w="190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w:t>
            </w:r>
          </w:p>
        </w:tc>
        <w:tc>
          <w:tcPr>
            <w:tcW w:w="1770"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ascii="宋体" w:hAnsi="宋体" w:cs="宋体"/>
                <w:color w:val="000000" w:themeColor="text1"/>
                <w:szCs w:val="21"/>
                <w:highlight w:val="none"/>
                <w14:textFill>
                  <w14:solidFill>
                    <w14:schemeClr w14:val="tx1"/>
                  </w14:solidFill>
                </w14:textFill>
              </w:rPr>
              <w:t>4</w:t>
            </w:r>
          </w:p>
        </w:tc>
        <w:tc>
          <w:tcPr>
            <w:tcW w:w="193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02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校史馆</w:t>
            </w:r>
          </w:p>
        </w:tc>
        <w:tc>
          <w:tcPr>
            <w:tcW w:w="148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海尔</w:t>
            </w:r>
          </w:p>
        </w:tc>
        <w:tc>
          <w:tcPr>
            <w:tcW w:w="190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w:t>
            </w:r>
          </w:p>
        </w:tc>
        <w:tc>
          <w:tcPr>
            <w:tcW w:w="1770"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r>
              <w:rPr>
                <w:rFonts w:ascii="宋体" w:hAnsi="宋体" w:cs="宋体"/>
                <w:color w:val="000000" w:themeColor="text1"/>
                <w:szCs w:val="21"/>
                <w:highlight w:val="none"/>
                <w14:textFill>
                  <w14:solidFill>
                    <w14:schemeClr w14:val="tx1"/>
                  </w14:solidFill>
                </w14:textFill>
              </w:rPr>
              <w:t>2</w:t>
            </w:r>
          </w:p>
        </w:tc>
        <w:tc>
          <w:tcPr>
            <w:tcW w:w="193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专家楼</w:t>
            </w:r>
          </w:p>
        </w:tc>
        <w:tc>
          <w:tcPr>
            <w:tcW w:w="148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日立</w:t>
            </w:r>
          </w:p>
        </w:tc>
        <w:tc>
          <w:tcPr>
            <w:tcW w:w="190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770"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p>
        </w:tc>
        <w:tc>
          <w:tcPr>
            <w:tcW w:w="1935"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音乐楼</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海尔</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29</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216</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图书馆</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美的</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2010年</w:t>
            </w:r>
          </w:p>
        </w:tc>
      </w:tr>
    </w:tbl>
    <w:p>
      <w:pPr>
        <w:snapToGrid w:val="0"/>
        <w:spacing w:line="440" w:lineRule="exact"/>
        <w:ind w:firstLine="562"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2</w:t>
      </w:r>
      <w:r>
        <w:rPr>
          <w:rFonts w:ascii="宋体" w:hAnsi="宋体" w:cs="宋体"/>
          <w:b/>
          <w:bCs/>
          <w:color w:val="000000" w:themeColor="text1"/>
          <w:kern w:val="0"/>
          <w:sz w:val="28"/>
          <w:szCs w:val="28"/>
          <w14:textFill>
            <w14:solidFill>
              <w14:schemeClr w14:val="tx1"/>
            </w14:solidFill>
          </w14:textFill>
        </w:rPr>
        <w:t>.</w:t>
      </w:r>
      <w:r>
        <w:rPr>
          <w:rFonts w:hint="eastAsia" w:ascii="宋体" w:hAnsi="宋体" w:cs="宋体"/>
          <w:b/>
          <w:bCs/>
          <w:color w:val="000000" w:themeColor="text1"/>
          <w:kern w:val="0"/>
          <w:sz w:val="28"/>
          <w:szCs w:val="28"/>
          <w14:textFill>
            <w14:solidFill>
              <w14:schemeClr w14:val="tx1"/>
            </w14:solidFill>
          </w14:textFill>
        </w:rPr>
        <w:t>风冷式中央空调</w:t>
      </w:r>
    </w:p>
    <w:tbl>
      <w:tblPr>
        <w:tblStyle w:val="6"/>
        <w:tblpPr w:leftFromText="180" w:rightFromText="180" w:vertAnchor="text" w:horzAnchor="page" w:tblpX="1060" w:tblpY="72"/>
        <w:tblOverlap w:val="never"/>
        <w:tblW w:w="10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650"/>
        <w:gridCol w:w="1800"/>
        <w:gridCol w:w="1485"/>
        <w:gridCol w:w="180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Align w:val="center"/>
          </w:tcPr>
          <w:p>
            <w:pPr>
              <w:snapToGrid w:val="0"/>
              <w:spacing w:line="44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地点</w:t>
            </w:r>
          </w:p>
        </w:tc>
        <w:tc>
          <w:tcPr>
            <w:tcW w:w="1650" w:type="dxa"/>
            <w:vAlign w:val="center"/>
          </w:tcPr>
          <w:p>
            <w:pPr>
              <w:snapToGrid w:val="0"/>
              <w:spacing w:line="44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品牌</w:t>
            </w:r>
          </w:p>
        </w:tc>
        <w:tc>
          <w:tcPr>
            <w:tcW w:w="1800" w:type="dxa"/>
            <w:vAlign w:val="center"/>
          </w:tcPr>
          <w:p>
            <w:pPr>
              <w:snapToGrid w:val="0"/>
              <w:spacing w:line="44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型号</w:t>
            </w:r>
          </w:p>
        </w:tc>
        <w:tc>
          <w:tcPr>
            <w:tcW w:w="1485" w:type="dxa"/>
            <w:vAlign w:val="center"/>
          </w:tcPr>
          <w:p>
            <w:pPr>
              <w:snapToGrid w:val="0"/>
              <w:spacing w:line="44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总功率</w:t>
            </w:r>
          </w:p>
        </w:tc>
        <w:tc>
          <w:tcPr>
            <w:tcW w:w="1800" w:type="dxa"/>
            <w:vAlign w:val="center"/>
          </w:tcPr>
          <w:p>
            <w:pPr>
              <w:snapToGrid w:val="0"/>
              <w:spacing w:line="440" w:lineRule="exact"/>
              <w:jc w:val="center"/>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投入使用年份</w:t>
            </w:r>
          </w:p>
        </w:tc>
        <w:tc>
          <w:tcPr>
            <w:tcW w:w="2265" w:type="dxa"/>
            <w:vAlign w:val="center"/>
          </w:tcPr>
          <w:p>
            <w:pPr>
              <w:snapToGrid w:val="0"/>
              <w:spacing w:line="44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Merge w:val="restart"/>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大礼堂</w:t>
            </w:r>
          </w:p>
        </w:tc>
        <w:tc>
          <w:tcPr>
            <w:tcW w:w="165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麦克维尔</w:t>
            </w:r>
          </w:p>
        </w:tc>
        <w:tc>
          <w:tcPr>
            <w:tcW w:w="180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r>
              <w:rPr>
                <w:rFonts w:ascii="宋体" w:hAnsi="宋体" w:cs="宋体"/>
                <w:color w:val="000000" w:themeColor="text1"/>
                <w:kern w:val="0"/>
                <w:szCs w:val="21"/>
                <w14:textFill>
                  <w14:solidFill>
                    <w14:schemeClr w14:val="tx1"/>
                  </w14:solidFill>
                </w14:textFill>
              </w:rPr>
              <w:t>HS150ST3-FEA</w:t>
            </w:r>
          </w:p>
        </w:tc>
        <w:tc>
          <w:tcPr>
            <w:tcW w:w="1485"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80.4KW</w:t>
            </w:r>
          </w:p>
        </w:tc>
        <w:tc>
          <w:tcPr>
            <w:tcW w:w="180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265"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包括空调主机及其他组成部件，含水泵，风管等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Merge w:val="continue"/>
            <w:vAlign w:val="center"/>
          </w:tcPr>
          <w:p>
            <w:pPr>
              <w:snapToGrid w:val="0"/>
              <w:spacing w:line="440" w:lineRule="exact"/>
              <w:ind w:firstLine="420" w:firstLineChars="200"/>
              <w:jc w:val="center"/>
              <w:rPr>
                <w:rFonts w:ascii="宋体" w:hAnsi="宋体" w:cs="宋体"/>
                <w:color w:val="000000" w:themeColor="text1"/>
                <w:kern w:val="0"/>
                <w:szCs w:val="21"/>
                <w14:textFill>
                  <w14:solidFill>
                    <w14:schemeClr w14:val="tx1"/>
                  </w14:solidFill>
                </w14:textFill>
              </w:rPr>
            </w:pPr>
          </w:p>
        </w:tc>
        <w:tc>
          <w:tcPr>
            <w:tcW w:w="165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麦克维尔</w:t>
            </w:r>
          </w:p>
        </w:tc>
        <w:tc>
          <w:tcPr>
            <w:tcW w:w="180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r>
              <w:rPr>
                <w:rFonts w:ascii="宋体" w:hAnsi="宋体" w:cs="宋体"/>
                <w:color w:val="000000" w:themeColor="text1"/>
                <w:kern w:val="0"/>
                <w:szCs w:val="21"/>
                <w14:textFill>
                  <w14:solidFill>
                    <w14:schemeClr w14:val="tx1"/>
                  </w14:solidFill>
                </w14:textFill>
              </w:rPr>
              <w:t>HS150ST3-FEA</w:t>
            </w:r>
          </w:p>
        </w:tc>
        <w:tc>
          <w:tcPr>
            <w:tcW w:w="1485"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80.4KW</w:t>
            </w:r>
          </w:p>
        </w:tc>
        <w:tc>
          <w:tcPr>
            <w:tcW w:w="1800" w:type="dxa"/>
            <w:vAlign w:val="center"/>
          </w:tcPr>
          <w:p>
            <w:pPr>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265" w:type="dxa"/>
            <w:vAlign w:val="center"/>
          </w:tcPr>
          <w:p>
            <w:pPr>
              <w:snapToGrid w:val="0"/>
              <w:spacing w:line="44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包括空调主机及其他组成部件，含水泵，风管等</w:t>
            </w:r>
          </w:p>
        </w:tc>
      </w:tr>
    </w:tbl>
    <w:p>
      <w:pPr>
        <w:snapToGrid w:val="0"/>
        <w:spacing w:line="440" w:lineRule="exact"/>
        <w:ind w:firstLine="482"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注：设备详列清单数量如与现场实际情况有偏差的，以实际设备数量为准；以上中央空调自投入使用至今无固定维保单位。</w:t>
      </w:r>
    </w:p>
    <w:p>
      <w:pPr>
        <w:adjustRightInd w:val="0"/>
        <w:snapToGrid w:val="0"/>
        <w:spacing w:line="440" w:lineRule="exact"/>
        <w:ind w:firstLine="562" w:firstLineChars="200"/>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四、服务要求</w:t>
      </w:r>
      <w:bookmarkEnd w:id="0"/>
      <w:bookmarkEnd w:id="1"/>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（一）维护保养标准</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中标人应按国家行业标准和操作规程进行维护保养，中央空调维护保养后应达到《空调通风系统运行管理规范》、《空调通风系统清洗规范》、《公共场所集中空调通风系统卫生管理办法》等国家相关规定的标准。</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2.保养期内，中标人应当按照《空调通风系统运行管理规范》及《中央空调循环水及循环冷却水水质标准DB44／T115－2000》等国家相关规定的产品标准检验项目要求，进行维护保养。</w:t>
      </w:r>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（二）维护保养要求</w:t>
      </w:r>
    </w:p>
    <w:p>
      <w:pPr>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1.多联式中央空调维保内容要求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355"/>
        <w:gridCol w:w="259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任务</w:t>
            </w:r>
          </w:p>
        </w:tc>
        <w:tc>
          <w:tcPr>
            <w:tcW w:w="2355"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主机定期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595"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室内机</w:t>
            </w: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828"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频率</w:t>
            </w:r>
          </w:p>
        </w:tc>
        <w:tc>
          <w:tcPr>
            <w:tcW w:w="2355"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2595"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2828"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7"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2355" w:type="dxa"/>
          </w:tcPr>
          <w:p>
            <w:pPr>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1.检查机组控制、保护是否正常。</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2.检查冷冻油，需要时更换冷冻油。</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3.检测制冷剂是否足够，如有需要，则添加制冷剂。</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.检查主机电路板是否正常，有无报故障码。</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.对主机及主电线进行绝缘测试。</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.对各保护元件进行检测及校正。</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.机械性能的鉴定，包括震动、声响等。</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.检查主机的冷凝器及蒸发器的温度、压力及散热是否正常，需要时清洗。</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.检查节流装置、温度、传感器及电磁阀等原件是否正常工作。</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.检查主机的高低压、过热温度是否正常</w:t>
            </w:r>
          </w:p>
          <w:p>
            <w:pPr>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.对机组进行全面探漏工作。</w:t>
            </w:r>
          </w:p>
        </w:tc>
        <w:tc>
          <w:tcPr>
            <w:tcW w:w="2595" w:type="dxa"/>
          </w:tcPr>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1.检查空气过滤网有无脏堵，季前（2月/8月）对室内机过滤网实施清洗消毒。</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2.检查风机盘管工作是否正常、冷凝水排水是否畅顺。</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3.检查控制面板、温控器、控制线路及风机电机是否正常运行。</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4.电机加油保养。</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5.检查主电源电柜、电线等有无异常，接线有无松动。需要时清理灰尘。</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6.检查开关等保护装置是否正常。</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p>
        </w:tc>
        <w:tc>
          <w:tcPr>
            <w:tcW w:w="2828" w:type="dxa"/>
          </w:tcPr>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48小时内完成维修，保障中央空调系统的正常运行。</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p>
        </w:tc>
      </w:tr>
    </w:tbl>
    <w:p>
      <w:pPr>
        <w:adjustRightInd w:val="0"/>
        <w:snapToGrid w:val="0"/>
        <w:spacing w:line="440" w:lineRule="exact"/>
        <w:ind w:firstLine="562"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2.麦克维尔中央空调主机维保作业要求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965"/>
        <w:gridCol w:w="2760"/>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任务</w:t>
            </w:r>
          </w:p>
        </w:tc>
        <w:tc>
          <w:tcPr>
            <w:tcW w:w="1965"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760"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季前开机检查</w:t>
            </w:r>
            <w:r>
              <w:rPr>
                <w:rFonts w:ascii="宋体" w:hAnsi="宋体" w:cs="宋体"/>
                <w:b/>
                <w:color w:val="000000" w:themeColor="text1"/>
                <w:szCs w:val="21"/>
                <w14:textFill>
                  <w14:solidFill>
                    <w14:schemeClr w14:val="tx1"/>
                  </w14:solidFill>
                </w14:textFill>
              </w:rPr>
              <w:t>保养</w:t>
            </w:r>
          </w:p>
        </w:tc>
        <w:tc>
          <w:tcPr>
            <w:tcW w:w="3053"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频率</w:t>
            </w:r>
          </w:p>
        </w:tc>
        <w:tc>
          <w:tcPr>
            <w:tcW w:w="1965"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2760"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8月</w:t>
            </w:r>
          </w:p>
        </w:tc>
        <w:tc>
          <w:tcPr>
            <w:tcW w:w="3053"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3" w:hRule="atLeast"/>
          <w:jc w:val="center"/>
        </w:trPr>
        <w:tc>
          <w:tcPr>
            <w:tcW w:w="744"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1965" w:type="dxa"/>
          </w:tcPr>
          <w:p>
            <w:pPr>
              <w:tabs>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1.检查设备润滑系统的工作情况，根据需求进行设备润滑。</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2.机组泄漏测试，检查制冷剂充注量并及时补充。</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3.校核运行控制元件、仪表、指示灯。</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4.检查主接触器。</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5.调紧电气连接。</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6.检查起动电缆和控制接触器。</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7.检查仪表</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指示灯。</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8.校核电机电流和电压。</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9.校核控制元件。</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10.校核水流开关。</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11.检查压缩机电机运行情况。</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12.检查制冷系统运行状况。</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13.记录和分析数据。</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14.对系统电气设备的绝缘检测（如隔离开关、主令开关、接触器、电机等）。</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15.清理或更换滤油器。</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16.清理或更换干燥过滤器。</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17.清理现场。</w:t>
            </w:r>
          </w:p>
        </w:tc>
        <w:tc>
          <w:tcPr>
            <w:tcW w:w="2760" w:type="dxa"/>
          </w:tcPr>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1.检查控制、电源和管道系统。</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2.检查起动电缆和接触器。</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3.恢复供电。</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4.检查水流。</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5.启动设备。</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6.查运并记录行状况是否符合设计标准，包括：</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记录冷冻水泵压力，记录冷水进，出口温度，记录冷冻水泵压力差，温度记录冷凝器温差，记录冷凝器冷却水进、出口温度，记录油位和颜色，记录油压差，记录油泵电流，记录油分离器温度，记录油箱温度，记录供油压力，记录油</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气压，记录制冷饱和温度。</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7.检查制冷剂充注量。</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8.检查泄漏。</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9.根据需要进行润滑。</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10.根据要求调整设备。</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11.根据要求调整运行</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控制装置。</w:t>
            </w:r>
          </w:p>
          <w:p>
            <w:pPr>
              <w:tabs>
                <w:tab w:val="left" w:pos="360"/>
                <w:tab w:val="center" w:pos="5400"/>
                <w:tab w:val="center" w:pos="6120"/>
                <w:tab w:val="center" w:pos="6840"/>
                <w:tab w:val="center" w:pos="7560"/>
                <w:tab w:val="center" w:pos="8280"/>
                <w:tab w:val="center" w:pos="9000"/>
                <w:tab w:val="left" w:pos="9360"/>
              </w:tabs>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12.根据要求进行防锈处理，防止设备过早老化。</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13.清理现场。</w:t>
            </w:r>
          </w:p>
        </w:tc>
        <w:tc>
          <w:tcPr>
            <w:tcW w:w="3053" w:type="dxa"/>
          </w:tcPr>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p>
          <w:p>
            <w:pPr>
              <w:widowControl/>
              <w:snapToGrid w:val="0"/>
              <w:spacing w:line="440" w:lineRule="exac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48小时内完成维修，保障中央空调系统的正常运行。</w:t>
            </w:r>
          </w:p>
          <w:p>
            <w:pPr>
              <w:widowControl/>
              <w:snapToGrid w:val="0"/>
              <w:spacing w:line="440" w:lineRule="exac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4.开闭制冷设备：根据学校开展场馆活动的时间。</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p>
        </w:tc>
      </w:tr>
    </w:tbl>
    <w:p>
      <w:pPr>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3.冷冻水循环泵维护保养要求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935"/>
        <w:gridCol w:w="2790"/>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4"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任务</w:t>
            </w:r>
          </w:p>
        </w:tc>
        <w:tc>
          <w:tcPr>
            <w:tcW w:w="1935"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790"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季前开机检查</w:t>
            </w:r>
            <w:r>
              <w:rPr>
                <w:rFonts w:ascii="宋体" w:hAnsi="宋体" w:cs="宋体"/>
                <w:b/>
                <w:color w:val="000000" w:themeColor="text1"/>
                <w:szCs w:val="21"/>
                <w14:textFill>
                  <w14:solidFill>
                    <w14:schemeClr w14:val="tx1"/>
                  </w14:solidFill>
                </w14:textFill>
              </w:rPr>
              <w:t>保养</w:t>
            </w:r>
          </w:p>
        </w:tc>
        <w:tc>
          <w:tcPr>
            <w:tcW w:w="3053" w:type="dxa"/>
            <w:vAlign w:val="center"/>
          </w:tcPr>
          <w:p>
            <w:pPr>
              <w:tabs>
                <w:tab w:val="left" w:pos="1584"/>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44"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频率</w:t>
            </w:r>
          </w:p>
        </w:tc>
        <w:tc>
          <w:tcPr>
            <w:tcW w:w="1935"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1次/月</w:t>
            </w:r>
          </w:p>
        </w:tc>
        <w:tc>
          <w:tcPr>
            <w:tcW w:w="2790" w:type="dxa"/>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8月</w:t>
            </w:r>
          </w:p>
        </w:tc>
        <w:tc>
          <w:tcPr>
            <w:tcW w:w="3053" w:type="dxa"/>
            <w:vAlign w:val="center"/>
          </w:tcPr>
          <w:p>
            <w:pPr>
              <w:tabs>
                <w:tab w:val="left" w:pos="360"/>
                <w:tab w:val="center" w:pos="5400"/>
                <w:tab w:val="center" w:pos="6120"/>
                <w:tab w:val="center" w:pos="6840"/>
                <w:tab w:val="center" w:pos="7560"/>
                <w:tab w:val="center" w:pos="8280"/>
                <w:tab w:val="center" w:pos="9000"/>
                <w:tab w:val="left" w:pos="9360"/>
              </w:tabs>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8" w:hRule="atLeast"/>
          <w:jc w:val="center"/>
        </w:trPr>
        <w:tc>
          <w:tcPr>
            <w:tcW w:w="744" w:type="dxa"/>
            <w:vAlign w:val="center"/>
          </w:tcPr>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1935" w:type="dxa"/>
          </w:tcPr>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1.检查是否有漏水情况</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2.检查是否有异常振动</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3.检查泵体及电机表面温度</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4.检查水泵电机电流</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5.根据需求进行设备润滑</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6.根据需求测量电机绝缘</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7.检查防泄漏密封垫</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8.检查水封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阀门</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9.检查机组常规运行条件</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10.检测所有的排水盘和排水管路</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11.检测所有的压力表和温度表</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12.检查出入水温度</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13.检查出入水压力</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14.检查过滤器</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15.清理现场</w:t>
            </w:r>
          </w:p>
          <w:p>
            <w:pPr>
              <w:snapToGrid w:val="0"/>
              <w:spacing w:line="440" w:lineRule="exact"/>
              <w:rPr>
                <w:rFonts w:ascii="宋体" w:hAnsi="宋体" w:cs="宋体"/>
                <w:color w:val="000000" w:themeColor="text1"/>
                <w:szCs w:val="21"/>
                <w14:textFill>
                  <w14:solidFill>
                    <w14:schemeClr w14:val="tx1"/>
                  </w14:solidFill>
                </w14:textFill>
              </w:rPr>
            </w:pPr>
          </w:p>
        </w:tc>
        <w:tc>
          <w:tcPr>
            <w:tcW w:w="2790" w:type="dxa"/>
          </w:tcPr>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1.检查机组常规运行情况</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检查水泵控制柜控制开关、接触器、指示灯及保护装置等元件是否正常，必要时更换新元件</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.停机并对电气回路上锁</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.清洁泵的电机和基座</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.检查轴的水平</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.测量水泵电机绝缘情况</w:t>
            </w:r>
          </w:p>
          <w:p>
            <w:pPr>
              <w:tabs>
                <w:tab w:val="center" w:pos="6120"/>
                <w:tab w:val="center" w:pos="6840"/>
                <w:tab w:val="center" w:pos="7560"/>
                <w:tab w:val="center" w:pos="8280"/>
                <w:tab w:val="center" w:pos="9000"/>
                <w:tab w:val="left" w:pos="9360"/>
              </w:tabs>
              <w:snapToGrid w:val="0"/>
              <w:spacing w:line="440" w:lineRule="exact"/>
              <w:ind w:right="53" w:rightChars="25"/>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.根据需要检查和校正连轴器</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.根据需要检查清洁过滤网</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.用油漆表明机器上铁锈的位置</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.检查电机驱动状况</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.检查轴和密封是否泄漏</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.清洁密封泵油箱</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.根据需要清洁泵体及电机表面</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.根据需要进行润滑</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.根据要求进行防锈处理，防止设备过早老化</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.恢复供电</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17</w:t>
            </w:r>
            <w:r>
              <w:rPr>
                <w:rFonts w:hint="eastAsia" w:ascii="宋体" w:hAnsi="宋体" w:cs="宋体"/>
                <w:color w:val="000000" w:themeColor="text1"/>
                <w:szCs w:val="21"/>
                <w14:textFill>
                  <w14:solidFill>
                    <w14:schemeClr w14:val="tx1"/>
                  </w14:solidFill>
                </w14:textFill>
              </w:rPr>
              <w:t>.固定紧固件</w:t>
            </w:r>
          </w:p>
          <w:p>
            <w:pPr>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.启动设备</w:t>
            </w:r>
          </w:p>
          <w:p>
            <w:pPr>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.检查电压和电流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满载对比运行</w:t>
            </w:r>
            <w:r>
              <w:rPr>
                <w:rFonts w:ascii="宋体" w:hAnsi="宋体" w:cs="宋体"/>
                <w:color w:val="000000" w:themeColor="text1"/>
                <w:szCs w:val="21"/>
                <w14:textFill>
                  <w14:solidFill>
                    <w14:schemeClr w14:val="tx1"/>
                  </w14:solidFill>
                </w14:textFill>
              </w:rPr>
              <w:t>)</w:t>
            </w:r>
          </w:p>
          <w:p>
            <w:pPr>
              <w:tabs>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.清理现场</w:t>
            </w:r>
          </w:p>
        </w:tc>
        <w:tc>
          <w:tcPr>
            <w:tcW w:w="3053" w:type="dxa"/>
          </w:tcPr>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48小时内完成维修，保障中央空调系统的正常运行。</w:t>
            </w:r>
          </w:p>
          <w:p>
            <w:pPr>
              <w:pStyle w:val="2"/>
              <w:rPr>
                <w:rFonts w:ascii="宋体" w:hAnsi="宋体" w:cs="宋体"/>
                <w:color w:val="000000" w:themeColor="text1"/>
                <w:szCs w:val="21"/>
                <w14:textFill>
                  <w14:solidFill>
                    <w14:schemeClr w14:val="tx1"/>
                  </w14:solidFill>
                </w14:textFill>
              </w:rPr>
            </w:pPr>
          </w:p>
        </w:tc>
      </w:tr>
    </w:tbl>
    <w:p>
      <w:pPr>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4.其他组件维护保养要求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2122"/>
        <w:gridCol w:w="2443"/>
        <w:gridCol w:w="3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0" w:type="auto"/>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任务</w:t>
            </w:r>
          </w:p>
        </w:tc>
        <w:tc>
          <w:tcPr>
            <w:tcW w:w="0" w:type="auto"/>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仪表、阀门等水循环管道部分维护保养要求</w:t>
            </w:r>
          </w:p>
        </w:tc>
        <w:tc>
          <w:tcPr>
            <w:tcW w:w="0" w:type="auto"/>
            <w:vAlign w:val="center"/>
          </w:tcPr>
          <w:p>
            <w:pPr>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末端设备（风机盘管、风柜）的维护保养要求</w:t>
            </w:r>
          </w:p>
        </w:tc>
        <w:tc>
          <w:tcPr>
            <w:tcW w:w="0" w:type="auto"/>
            <w:vAlign w:val="center"/>
          </w:tcPr>
          <w:p>
            <w:pPr>
              <w:tabs>
                <w:tab w:val="left" w:pos="1584"/>
              </w:tabs>
              <w:snapToGrid w:val="0"/>
              <w:spacing w:line="440" w:lineRule="exact"/>
              <w:jc w:val="center"/>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循环水质处理维护保养要求</w:t>
            </w:r>
          </w:p>
          <w:p>
            <w:pPr>
              <w:tabs>
                <w:tab w:val="left" w:pos="1584"/>
              </w:tabs>
              <w:snapToGrid w:val="0"/>
              <w:spacing w:line="440" w:lineRule="exact"/>
              <w:jc w:val="center"/>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（冷冻水）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w:t>
            </w:r>
          </w:p>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体</w:t>
            </w:r>
          </w:p>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w:t>
            </w:r>
          </w:p>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容</w:t>
            </w:r>
          </w:p>
        </w:tc>
        <w:tc>
          <w:tcPr>
            <w:tcW w:w="0" w:type="auto"/>
          </w:tcPr>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1.每个月检查一次管道系统中的自动排气阀的工作情况，对动作不良的要修理或更换。</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2.每月清洗水泵</w:t>
            </w:r>
            <w:r>
              <w:rPr>
                <w:rFonts w:ascii="宋体" w:hAnsi="宋体" w:cs="宋体"/>
                <w:color w:val="000000" w:themeColor="text1"/>
                <w:szCs w:val="21"/>
                <w14:textFill>
                  <w14:solidFill>
                    <w14:schemeClr w14:val="tx1"/>
                  </w14:solidFill>
                </w14:textFill>
              </w:rPr>
              <w:t>Y</w:t>
            </w:r>
            <w:r>
              <w:rPr>
                <w:rFonts w:hint="eastAsia" w:ascii="宋体" w:hAnsi="宋体" w:cs="宋体"/>
                <w:color w:val="000000" w:themeColor="text1"/>
                <w:szCs w:val="21"/>
                <w14:textFill>
                  <w14:solidFill>
                    <w14:schemeClr w14:val="tx1"/>
                  </w14:solidFill>
                </w14:textFill>
              </w:rPr>
              <w:t>型过滤器。</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.每半年对阀门加注一次润滑油，检查阀门开闭是否灵活，同时对不经常使用的阀门要手动几个来回。</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.每半年一次检查阀门是否泄漏，如是则应加压填料，如阀门破裂或开闭失效，则应更换同规格阀门。</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.每半年一次检查法兰连结处是否渗漏，如是则应拆换密封胶垫。</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.每年检查一次电磁阀和电动压差调节阀。</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.常用的温度计、压力表若有读数模糊不清应拆换，更换合格的温度计和压力表，</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.检测传感器的参数是否正常并做模拟实验，对于不合格的传感器应拆换。</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9.每半年一次检查弹性联轴器有无损坏，如损坏则应更换弹性橡胶垫。</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10.每半年一次清洗水泵过滤网。拧紧水泵机组所有紧固螺栓。</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11.每半年一次清洗水泵机组外壳，如脱漆或锈蚀严重，则应重新油漆一遍。</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12.每半年一次检查冷冻水管路、送冷风管路、风机盘管路处是否有大量的凝结水或保温层已破损，如是则应维修或更换保温层。</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13.每年一次对天面裸露支架、金属管槽进行除锈、油漆翻新处理。</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14.每年清洁一次膨胀水箱，并对箱体及钢架结构基座进行一次除锈刷漆。</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15.每年检查一次水管系统支承构件，损坏的要修复，松动的要紧固，锈蚀的要除锈刷漆。</w:t>
            </w:r>
          </w:p>
        </w:tc>
        <w:tc>
          <w:tcPr>
            <w:tcW w:w="0" w:type="auto"/>
          </w:tcPr>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空调末端系统定期检查保养频率：</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空调末端系统：每年夏冬之初进行一次杀菌、消毒、净化处理，去除微生物滋生，消灭细菌根源，使风机</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风管所送调节风符合空气卫生标准。</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（2）风机电动机保养：</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（3）控制电源检查：</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（4）正常使用检查开关阀门及温控开关：</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（5）水流开关：</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（6）排气阀、补水阀检查：</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月一次。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（7）室内风道检查修补：每年一次。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（8）换热器翅片及空调风管清洗：</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.空调末端设备维护保养工作内容：</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每月清洗风机盘管、新风柜、空气处理器回风滤网一次，并进行消毒处理。</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（2）每月检查风机盘管及风柜接水盘，有堵塞时疏通排水管。</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（3）每月检查风机盘管温控电磁阀开关及比例积分控制阀的动作情况，不正常或控制失灵要及时修理或更换。</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（4）每月检查送风机工作状况，及时调整风柜皮带松紧度或更换皮带，如有出现轴承损坏的更换轴承。</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（5）每季对送风机轴承进行添加润滑油。</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（6）定期更换洁净空调的中高效过滤器，以及检查各空气处理器回风滤网是否存在破损，如有破损需及时更换。</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（7）定期检查空气处理器、送风机、排风机控制箱，紧固各接线端子，检查其工作状况是否处于正常。</w:t>
            </w:r>
          </w:p>
          <w:p>
            <w:pPr>
              <w:tabs>
                <w:tab w:val="left" w:pos="360"/>
                <w:tab w:val="center" w:pos="5400"/>
                <w:tab w:val="center" w:pos="6120"/>
                <w:tab w:val="center" w:pos="6840"/>
                <w:tab w:val="center" w:pos="7560"/>
                <w:tab w:val="center" w:pos="8280"/>
                <w:tab w:val="center" w:pos="9000"/>
                <w:tab w:val="left" w:pos="9360"/>
              </w:tabs>
              <w:snapToGrid w:val="0"/>
              <w:spacing w:line="440" w:lineRule="exact"/>
              <w:rPr>
                <w:rFonts w:ascii="宋体" w:hAnsi="宋体" w:cs="宋体"/>
                <w:color w:val="000000" w:themeColor="text1"/>
                <w:szCs w:val="21"/>
                <w14:textFill>
                  <w14:solidFill>
                    <w14:schemeClr w14:val="tx1"/>
                  </w14:solidFill>
                </w14:textFill>
              </w:rPr>
            </w:pPr>
          </w:p>
        </w:tc>
        <w:tc>
          <w:tcPr>
            <w:tcW w:w="0" w:type="auto"/>
          </w:tcPr>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1.在冷冻水系统的补水箱中投加清洗剂，全系统进行杀菌处理，杀灭系统内的菌类和对钢材有腐蚀作用的铁细菌，并剥离管道中的粘泥污垢，随系统水排污排走。</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2.在冷冻水系统的补水箱中投加清洗药剂，乳化溶解系统管壁的油性物质，避免油性物质形成细菌营养源，同时影响以后化学清洗的效果。同时投入清洗药剂于冷冻水系统后，开启冷冻水泵运行</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小时后，安排全系统放水排污。</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3.在冷冻水系统的补水箱中投加清洗药剂，将已形成的锈垢和硬垢溶解清除。</w:t>
            </w:r>
          </w:p>
          <w:p>
            <w:pPr>
              <w:widowControl/>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4.在冷冻水系统的补水箱中投加预膜剂，补充管道金属基体表面的膜层，起防腐作用。投入药剂于冷冻水系统后，开启冷冻水泵运行超过</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小时后，安排全系统放水排污。</w:t>
            </w:r>
          </w:p>
          <w:p>
            <w:pPr>
              <w:snapToGrid w:val="0"/>
              <w:spacing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处理后的水质执行“</w:t>
            </w:r>
            <w:r>
              <w:rPr>
                <w:rFonts w:ascii="宋体" w:hAnsi="宋体" w:cs="宋体"/>
                <w:bCs/>
                <w:color w:val="000000" w:themeColor="text1"/>
                <w:szCs w:val="21"/>
                <w14:textFill>
                  <w14:solidFill>
                    <w14:schemeClr w14:val="tx1"/>
                  </w14:solidFill>
                </w14:textFill>
              </w:rPr>
              <w:t>DB44</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T115</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2000</w:t>
            </w:r>
            <w:r>
              <w:rPr>
                <w:rFonts w:hint="eastAsia" w:ascii="宋体" w:hAnsi="宋体" w:cs="宋体"/>
                <w:bCs/>
                <w:color w:val="000000" w:themeColor="text1"/>
                <w:szCs w:val="21"/>
                <w14:textFill>
                  <w14:solidFill>
                    <w14:schemeClr w14:val="tx1"/>
                  </w14:solidFill>
                </w14:textFill>
              </w:rPr>
              <w:t>”标准。</w:t>
            </w:r>
          </w:p>
          <w:p>
            <w:pPr>
              <w:snapToGrid w:val="0"/>
              <w:spacing w:line="440" w:lineRule="exact"/>
              <w:rPr>
                <w:rFonts w:ascii="宋体" w:hAnsi="宋体" w:cs="宋体"/>
                <w:color w:val="000000" w:themeColor="text1"/>
                <w:szCs w:val="21"/>
                <w14:textFill>
                  <w14:solidFill>
                    <w14:schemeClr w14:val="tx1"/>
                  </w14:solidFill>
                </w14:textFill>
              </w:rPr>
            </w:pPr>
          </w:p>
        </w:tc>
      </w:tr>
    </w:tbl>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（三）维护保养人员要求</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1.所有维保人员必须持证上岗，并配有本公司统一的着装，佩戴工作证。人员的信息资料交采购人进行备案（身份证复印件，</w:t>
      </w:r>
      <w:r>
        <w:rPr>
          <w:rFonts w:ascii="宋体" w:hAnsi="宋体" w:cs="宋体"/>
          <w:color w:val="000000" w:themeColor="text1"/>
          <w:sz w:val="28"/>
          <w:szCs w:val="28"/>
          <w14:textFill>
            <w14:solidFill>
              <w14:schemeClr w14:val="tx1"/>
            </w14:solidFill>
          </w14:textFill>
        </w:rPr>
        <w:t>特种作业操作证</w:t>
      </w:r>
      <w:r>
        <w:rPr>
          <w:rFonts w:hint="eastAsia" w:ascii="宋体" w:hAnsi="宋体" w:cs="宋体"/>
          <w:color w:val="000000" w:themeColor="text1"/>
          <w:sz w:val="28"/>
          <w:szCs w:val="28"/>
          <w14:textFill>
            <w14:solidFill>
              <w14:schemeClr w14:val="tx1"/>
            </w14:solidFill>
          </w14:textFill>
        </w:rPr>
        <w:t>复印件，高空作业证等有效证件）。</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2.保养期内，采购人有重大活动或特殊情况，应按采购人要求派遣1名取得相应的《中华人民共和国</w:t>
      </w:r>
      <w:r>
        <w:rPr>
          <w:rFonts w:ascii="宋体" w:hAnsi="宋体" w:cs="宋体"/>
          <w:color w:val="000000" w:themeColor="text1"/>
          <w:sz w:val="28"/>
          <w:szCs w:val="28"/>
          <w14:textFill>
            <w14:solidFill>
              <w14:schemeClr w14:val="tx1"/>
            </w14:solidFill>
          </w14:textFill>
        </w:rPr>
        <w:t>特种作业操作证</w:t>
      </w:r>
      <w:r>
        <w:rPr>
          <w:rFonts w:hint="eastAsia" w:ascii="宋体" w:hAnsi="宋体" w:cs="宋体"/>
          <w:color w:val="000000" w:themeColor="text1"/>
          <w:sz w:val="28"/>
          <w:szCs w:val="28"/>
          <w14:textFill>
            <w14:solidFill>
              <w14:schemeClr w14:val="tx1"/>
            </w14:solidFill>
          </w14:textFill>
        </w:rPr>
        <w:t>》专业技术人员到达现场，免费提供全程监护服务，确保空调设备的正常运行。</w:t>
      </w:r>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（四）其他要求</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保养期内，中标人保证采购人中央空调设备的正常运行。因中标人违反操作规程而造成空调设备的损坏，其维修费由中标人全额承担。因中标人保养不善而引起事故责任和造成采购人的直接经济损失，由中标人负责承担。</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中央空调设备出现紧急故障状况或采购人提出特殊紧急的维护、保养、检查要求时，中标人必须立即作出响应和采取相应措施，必要时，中标人应无条件提供安全的配件替代品以保证空调设备正常运行。</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3.实施维保和维修服务过程中所需的所有工具、梯子等都由中标供应商自行配备，且使用的仪器、设备应当靠边摆放整齐，造成、产生的垃圾，须完成当天现场工作前完成清理，及时恢复现场环境整洁。</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本项目采取全包形式进行外包服务，所有必要的设备损坏维修、零配件更换费用已包含在总费用预算内，中标人应充分进行风险评估并给出合理报价，采购人不需另行支付相关费用；属于第三方人为损坏或故意破坏的，中标人需协助采购人依法向第三方责任人进行追偿。</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5.中标人提供的配件必须为空调原厂家的正品配件，如须采用替代品须经采购人同意，零配件需为全新原厂配件并保障维修质量，采购人有权进行监督。</w:t>
      </w:r>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五、现场勘查及答疑</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为确保投标人对本项目有充分了解，采购人将组织统一现场勘查及答疑，投标人必须到场进行勘查，未参加现场勘查，且在开标前未完成现场勘查的投标人，无论其投标方案质量优劣，一律视为无效标。</w:t>
      </w:r>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六、项目管理要求</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1.投标人不得将项目向第三方转让和转包。</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2.投标人须根据本项目的要求，依照相关的规程规范制定详细的项目总体实施方案和进度计划，并严格执行。</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3.牢固树立“生产必须安全，安全为了生产”及“安全第一，预防为主”的安全思想，确保施工过程中人员及设备的安全。</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4.坚持做好施工人员的安全生产教育工作，杜绝未经安全教育的操作工人上岗作业。所有从业人员必须具备公共场所集中空调通风系统专业培训资格证、高空作业资格证，并通过相应的空调维保培训认证。</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6.项目进行过程中，因投标人原因造成的人身、财产损失，由投标人承担全部责任并负担相关费用；由于维保工作造成的安全责任事故由投标人承担全部责任。</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7.投标人施工过程中应确保安全文明施工，做到人离场清。废弃物不得随意倾倒，由投标人安排专人负责清理。</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投标人应在施工范围装设临时围栏或警告标志，不得超越指定的施工范围进行施工，禁止无关人员进入施工现场。未经采购人同意，投标人不得擅自使用与施工无关的采购人原有的设施设备；不得擅自拆除、变更防护设施及标示。</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9.投标人必须按照采购人对外来人员的管理要求，配合做好出入管理工作及疫情防控工作。</w:t>
      </w:r>
    </w:p>
    <w:p>
      <w:pPr>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七、验收及付款</w:t>
      </w:r>
    </w:p>
    <w:p>
      <w:pPr>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1.验收。必须严格按照行业规范及合同约定程序工作，每次维保完毕，提供维保报告及《服务项目验收证明书》，由用户验收并签字，作为结算依据。</w:t>
      </w:r>
    </w:p>
    <w:p>
      <w:pPr>
        <w:snapToGrid w:val="0"/>
        <w:spacing w:line="440" w:lineRule="exact"/>
        <w:ind w:firstLine="560" w:firstLineChars="200"/>
        <w:rPr>
          <w:rFonts w:ascii="宋体" w:hAnsi="宋体"/>
          <w:b/>
          <w:bCs/>
          <w:sz w:val="28"/>
          <w:szCs w:val="28"/>
        </w:rPr>
      </w:pPr>
      <w:r>
        <w:rPr>
          <w:rFonts w:hint="eastAsia" w:ascii="宋体" w:hAnsi="宋体" w:cs="宋体"/>
          <w:color w:val="000000" w:themeColor="text1"/>
          <w:sz w:val="28"/>
          <w:szCs w:val="28"/>
          <w14:textFill>
            <w14:solidFill>
              <w14:schemeClr w14:val="tx1"/>
            </w14:solidFill>
          </w14:textFill>
        </w:rPr>
        <w:t>2.付款方式：中标人按合同约定提供验收结算资料及正式发票后，采购人按季度支付（或3个月支付一次维保费用）</w:t>
      </w:r>
      <w:r>
        <w:rPr>
          <w:rFonts w:hint="eastAsia" w:ascii="宋体" w:hAnsi="宋体" w:cs="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943332"/>
    <w:rsid w:val="00036E4A"/>
    <w:rsid w:val="0004656A"/>
    <w:rsid w:val="00052E1C"/>
    <w:rsid w:val="00067C7F"/>
    <w:rsid w:val="000A02E7"/>
    <w:rsid w:val="00105B64"/>
    <w:rsid w:val="001301E3"/>
    <w:rsid w:val="001337B7"/>
    <w:rsid w:val="001359A2"/>
    <w:rsid w:val="001372B0"/>
    <w:rsid w:val="001469FA"/>
    <w:rsid w:val="001822E9"/>
    <w:rsid w:val="001832DC"/>
    <w:rsid w:val="001865ED"/>
    <w:rsid w:val="00192A95"/>
    <w:rsid w:val="0019422E"/>
    <w:rsid w:val="001B5020"/>
    <w:rsid w:val="001C13CB"/>
    <w:rsid w:val="001C23B7"/>
    <w:rsid w:val="001C3B96"/>
    <w:rsid w:val="00263805"/>
    <w:rsid w:val="00286AD6"/>
    <w:rsid w:val="00295DE4"/>
    <w:rsid w:val="00296037"/>
    <w:rsid w:val="002971E4"/>
    <w:rsid w:val="002C61CD"/>
    <w:rsid w:val="002D6675"/>
    <w:rsid w:val="003345D6"/>
    <w:rsid w:val="00345CDC"/>
    <w:rsid w:val="0035329F"/>
    <w:rsid w:val="00353AAE"/>
    <w:rsid w:val="00382E05"/>
    <w:rsid w:val="003E3BD2"/>
    <w:rsid w:val="00402222"/>
    <w:rsid w:val="00487A50"/>
    <w:rsid w:val="004B2C4A"/>
    <w:rsid w:val="00535368"/>
    <w:rsid w:val="005509B4"/>
    <w:rsid w:val="00574B49"/>
    <w:rsid w:val="005B4B4B"/>
    <w:rsid w:val="005C6FA7"/>
    <w:rsid w:val="005E4274"/>
    <w:rsid w:val="006018D2"/>
    <w:rsid w:val="006124CE"/>
    <w:rsid w:val="006308BE"/>
    <w:rsid w:val="00640227"/>
    <w:rsid w:val="0065036A"/>
    <w:rsid w:val="00660BCB"/>
    <w:rsid w:val="00661437"/>
    <w:rsid w:val="00697E2B"/>
    <w:rsid w:val="006D5679"/>
    <w:rsid w:val="006F02AF"/>
    <w:rsid w:val="006F55AE"/>
    <w:rsid w:val="006F624F"/>
    <w:rsid w:val="00707093"/>
    <w:rsid w:val="007106FD"/>
    <w:rsid w:val="00766B79"/>
    <w:rsid w:val="0077641E"/>
    <w:rsid w:val="007910EC"/>
    <w:rsid w:val="007C1F90"/>
    <w:rsid w:val="00813F56"/>
    <w:rsid w:val="008621B7"/>
    <w:rsid w:val="008B13A6"/>
    <w:rsid w:val="008C40F6"/>
    <w:rsid w:val="008C51D5"/>
    <w:rsid w:val="008C77DD"/>
    <w:rsid w:val="00907392"/>
    <w:rsid w:val="00916ADC"/>
    <w:rsid w:val="00924999"/>
    <w:rsid w:val="0092603E"/>
    <w:rsid w:val="00943332"/>
    <w:rsid w:val="00953EC4"/>
    <w:rsid w:val="00974409"/>
    <w:rsid w:val="009F4C8A"/>
    <w:rsid w:val="009F5D21"/>
    <w:rsid w:val="00A130BA"/>
    <w:rsid w:val="00A165F8"/>
    <w:rsid w:val="00A44173"/>
    <w:rsid w:val="00A83EE6"/>
    <w:rsid w:val="00A85C8A"/>
    <w:rsid w:val="00AA3F3A"/>
    <w:rsid w:val="00AA7B2D"/>
    <w:rsid w:val="00AC1B07"/>
    <w:rsid w:val="00AD1D8B"/>
    <w:rsid w:val="00AD5C84"/>
    <w:rsid w:val="00B37057"/>
    <w:rsid w:val="00B43FF2"/>
    <w:rsid w:val="00B80324"/>
    <w:rsid w:val="00B96A3D"/>
    <w:rsid w:val="00BB1C12"/>
    <w:rsid w:val="00BC6ABC"/>
    <w:rsid w:val="00C015C4"/>
    <w:rsid w:val="00C56FAC"/>
    <w:rsid w:val="00C62261"/>
    <w:rsid w:val="00C92E57"/>
    <w:rsid w:val="00C937F3"/>
    <w:rsid w:val="00CD07E6"/>
    <w:rsid w:val="00CE67CF"/>
    <w:rsid w:val="00CF4239"/>
    <w:rsid w:val="00D025FA"/>
    <w:rsid w:val="00D11374"/>
    <w:rsid w:val="00D41D15"/>
    <w:rsid w:val="00D67EF3"/>
    <w:rsid w:val="00D718B8"/>
    <w:rsid w:val="00D813B0"/>
    <w:rsid w:val="00D909CE"/>
    <w:rsid w:val="00D953CD"/>
    <w:rsid w:val="00DD3B1C"/>
    <w:rsid w:val="00E231CA"/>
    <w:rsid w:val="00E71991"/>
    <w:rsid w:val="00EB1A22"/>
    <w:rsid w:val="00EF29B4"/>
    <w:rsid w:val="00EF3123"/>
    <w:rsid w:val="00F1369C"/>
    <w:rsid w:val="00F4021D"/>
    <w:rsid w:val="00F71A0D"/>
    <w:rsid w:val="00FE180F"/>
    <w:rsid w:val="14762541"/>
    <w:rsid w:val="16087171"/>
    <w:rsid w:val="1C883359"/>
    <w:rsid w:val="32662C90"/>
    <w:rsid w:val="3A350148"/>
    <w:rsid w:val="400A4A0A"/>
    <w:rsid w:val="4D50767A"/>
    <w:rsid w:val="55403AAC"/>
    <w:rsid w:val="5CEC1ABB"/>
    <w:rsid w:val="5D1126DB"/>
    <w:rsid w:val="5D1F428F"/>
    <w:rsid w:val="6670559D"/>
    <w:rsid w:val="771E5F78"/>
    <w:rsid w:val="7A611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customStyle="1" w:styleId="1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
    <w:name w:val="日期 字符"/>
    <w:basedOn w:val="7"/>
    <w:link w:val="3"/>
    <w:semiHidden/>
    <w:qFormat/>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szCs w:val="20"/>
    </w:rPr>
  </w:style>
  <w:style w:type="paragraph" w:customStyle="1" w:styleId="14">
    <w:name w:val="正文_0"/>
    <w:qFormat/>
    <w:uiPriority w:val="0"/>
    <w:pPr>
      <w:widowControl w:val="0"/>
      <w:spacing w:line="30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9AE5-BD2E-46EA-A92C-E1A9ADECE4D2}">
  <ds:schemaRefs/>
</ds:datastoreItem>
</file>

<file path=docProps/app.xml><?xml version="1.0" encoding="utf-8"?>
<Properties xmlns="http://schemas.openxmlformats.org/officeDocument/2006/extended-properties" xmlns:vt="http://schemas.openxmlformats.org/officeDocument/2006/docPropsVTypes">
  <Template>Normal</Template>
  <Pages>10</Pages>
  <Words>5696</Words>
  <Characters>6041</Characters>
  <Lines>44</Lines>
  <Paragraphs>12</Paragraphs>
  <TotalTime>64</TotalTime>
  <ScaleCrop>false</ScaleCrop>
  <LinksUpToDate>false</LinksUpToDate>
  <CharactersWithSpaces>6041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2023-04-20T03:17:00Z</dcterms:created>
  <dc:creator>632327681@qq.com</dc:creator>
  <cp:lastModifiedBy>Pc</cp:lastModifiedBy>
  <cp:lastPrinted>2022-11-11T07:54:00Z</cp:lastPrinted>
  <dcterms:modified xsi:type="dcterms:W3CDTF">2023-06-20T07:57:37Z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E947C61ADF5C44A1AC82D20D96379B1D_13</vt:lpwstr>
  </property>
</Properties>
</file>